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rPr>
          <w:b/>
          <w:bCs/>
          <w:sz w:val="24"/>
        </w:rPr>
      </w:pPr>
      <w:r>
        <w:rPr>
          <w:lang w:bidi="en-US"/>
          <w:rFonts w:hint="eastAsia"/>
          <w:b/>
          <w:sz w:val="24"/>
        </w:rPr>
        <w:t>Regulations on Fact-Finding Investigations for the National Commission for the Investigation of the the October 29 Itaewon Disaster</w:t>
      </w:r>
    </w:p>
    <w:p>
      <w:pPr>
        <w:jc w:val="center"/>
        <w:rPr>
          <w:color w:val="004F88"/>
          <w:sz w:val="18"/>
          <w:szCs w:val="18"/>
        </w:rPr>
      </w:pPr>
      <w:r>
        <w:rPr>
          <w:lang w:bidi="en-US"/>
          <w:rFonts w:hint="eastAsia"/>
          <w:color w:val="004F88"/>
          <w:sz w:val="18"/>
          <w:szCs w:val="18"/>
        </w:rPr>
        <w:t>[Effective January 12, 2025]  [Enacted via Notification No. 2025-11 of the National Commission for the Investigation of the the October 29 Itaewon Disaster, dated January 12, 2025]</w:t>
      </w:r>
    </w:p>
    <w:p>
      <w:pPr>
        <w:jc w:val="right"/>
        <w:rPr>
          <w:sz w:val="18"/>
          <w:szCs w:val="18"/>
        </w:rPr>
      </w:pPr>
      <w:r>
        <w:rPr>
          <w:lang w:bidi="en-US"/>
          <w:rFonts w:hint="eastAsia"/>
          <w:sz w:val="18"/>
          <w:szCs w:val="18"/>
        </w:rPr>
        <w:t>National Commission for the Investigation of the the October 29 Itaewon Disaster | Tel: 02-2650-1002</w:t>
      </w:r>
    </w:p>
    <w:p>
      <w:pPr>
        <w:rPr>
          <w:b/>
          <w:bCs/>
        </w:rPr>
      </w:pPr>
      <w:bookmarkStart w:id="1" w:name="JP1-0:0"/>
      <w:bookmarkEnd w:id="1"/>
      <w:r>
        <w:rPr>
          <w:lang w:bidi="en-US"/>
          <w:rFonts w:hint="eastAsia"/>
          <w:b/>
        </w:rPr>
        <w:t>       </w:t>
      </w:r>
      <w:r>
        <w:rPr>
          <w:lang w:bidi="en-US"/>
          <w:rFonts w:hint="eastAsia"/>
          <w:b/>
          <w:color w:val="004F88"/>
        </w:rPr>
        <w:t>Chapter 1: General Provisions</w:t>
      </w:r>
    </w:p>
    <w:p>
      <w:bookmarkStart w:id="2" w:name="J1-0:0"/>
      <w:bookmarkEnd w:id="2"/>
      <w:r>
        <w:rPr>
          <w:lang w:bidi="en-US"/>
          <w:rFonts w:eastAsiaTheme="minorHAnsi"/>
        </w:rPr>
        <w:t>□</w:t>
      </w:r>
      <w:r>
        <w:rPr>
          <w:lang w:bidi="en-US"/>
          <w:rFonts w:hint="eastAsia"/>
        </w:rPr>
        <w:t> </w:t>
      </w:r>
      <w:r>
        <w:rPr>
          <w:lang w:bidi="en-US"/>
          <w:rFonts w:hint="eastAsia"/>
          <w:b/>
          <w:color w:val="004F88"/>
        </w:rPr>
        <w:t>Article 1: Purpose</w:t>
      </w:r>
      <w:r>
        <w:rPr>
          <w:lang w:bidi="en-US"/>
          <w:rFonts w:hint="eastAsia"/>
          <w:b/>
        </w:rPr>
        <w:br/>
      </w:r>
      <w:r>
        <w:rPr>
          <w:lang w:bidi="en-US"/>
          <w:rFonts w:hint="eastAsia"/>
        </w:rPr>
        <w:t xml:space="preserve">The purpose of these Regulations is to prescribe matters necessary for conducting fact-finding investigations by the National Commission for the Investigation of the the October 29 Itaewon Disaster (hereinafter “the Commission”)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6</w:t>
      </w:r>
      <w:r>
        <w:fldChar w:fldCharType="end"/>
      </w:r>
      <w:r>
        <w:rPr>
          <w:lang w:bidi="en-US"/>
          <w:rFonts w:hint="eastAsia"/>
        </w:rPr>
        <w:t xml:space="preserve">(2)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Special Act on the Protection of Victims’ Rights, Fact-Finding, and Prevention of Recurrence of the October 29 Itaewon Disaster</w:t>
      </w:r>
      <w:r>
        <w:fldChar w:fldCharType="end"/>
      </w:r>
      <w:r>
        <w:rPr>
          <w:lang w:bidi="en-US"/>
          <w:rFonts w:hint="eastAsia"/>
        </w:rPr>
        <w:t xml:space="preserve"> (hereinafter “the Act”).</w:t>
      </w:r>
    </w:p>
    <w:p>
      <w:bookmarkStart w:id="3" w:name="J2-0:0"/>
      <w:bookmarkEnd w:id="3"/>
      <w:r>
        <w:rPr>
          <w:lang w:bidi="en-US"/>
          <w:rFonts w:eastAsiaTheme="minorHAnsi"/>
        </w:rPr>
        <w:t>□ </w:t>
      </w:r>
      <w:r>
        <w:rPr>
          <w:lang w:bidi="en-US"/>
          <w:rFonts w:hint="eastAsia"/>
          <w:b/>
          <w:color w:val="004F88"/>
        </w:rPr>
        <w:t>Article 2: Definitions</w:t>
      </w:r>
      <w:r>
        <w:rPr>
          <w:lang w:bidi="en-US"/>
          <w:rFonts w:eastAsiaTheme="minorHAnsi"/>
        </w:rPr>
        <w:br/>
      </w:r>
      <w:r>
        <w:rPr>
          <w:lang w:bidi="en-US"/>
          <w:rFonts w:hint="eastAsia"/>
        </w:rPr>
        <w:t>The terms used in these Regulations shall be defined as follows:  </w:t>
      </w:r>
    </w:p>
    <w:p>
      <w:r>
        <w:rPr>
          <w:lang w:bidi="en-US"/>
          <w:rFonts w:hint="eastAsia"/>
        </w:rPr>
        <w:t xml:space="preserve">1. “Officially Initiated investigation” means an investigation initiated and carried out by the Commission on its own authority pursuant to the main clause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w:t>
      </w:r>
    </w:p>
    <w:p>
      <w:r>
        <w:rPr>
          <w:lang w:bidi="en-US"/>
          <w:rFonts w:hint="eastAsia"/>
        </w:rPr>
        <w:t xml:space="preserve">2. “Application-based investigation” means an investigation initiated and carried out based on a request submitted by an affected person, pursuant to the latter part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w:t>
      </w:r>
    </w:p>
    <w:p>
      <w:r>
        <w:rPr>
          <w:lang w:bidi="en-US"/>
          <w:rFonts w:hint="eastAsia"/>
        </w:rPr>
        <w:t>3. “Director-in-charge” refers to either the Director of the Bureau of Fact-Finding Investigation or the Director of the Bureau for a Safer Society of the Commission, depending on which is responsible for the matter in question. </w:t>
      </w:r>
    </w:p>
    <w:p>
      <w:r>
        <w:rPr>
          <w:lang w:bidi="en-US"/>
          <w:rFonts w:hint="eastAsia"/>
        </w:rPr>
        <w:t xml:space="preserve">4. “Investigator” refers to a commissioner or staff member who conducts investigations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xml:space="preserve"> or related provisions. </w:t>
      </w:r>
    </w:p>
    <w:p>
      <w:bookmarkStart w:id="4" w:name="J3-0:0"/>
      <w:bookmarkEnd w:id="4"/>
      <w:r>
        <w:rPr>
          <w:lang w:bidi="en-US"/>
          <w:rFonts w:eastAsiaTheme="minorHAnsi"/>
        </w:rPr>
        <w:t>□ </w:t>
      </w:r>
      <w:r>
        <w:rPr>
          <w:lang w:bidi="en-US"/>
          <w:rFonts w:hint="eastAsia"/>
          <w:b/>
          <w:color w:val="004F88"/>
        </w:rPr>
        <w:t>Article 3: Scope of Application</w:t>
      </w:r>
      <w:r>
        <w:rPr>
          <w:lang w:bidi="en-US"/>
          <w:rFonts w:eastAsiaTheme="minorHAnsi"/>
        </w:rPr>
        <w:br/>
      </w:r>
      <w:r>
        <w:rPr>
          <w:lang w:bidi="en-US"/>
          <w:rFonts w:hint="eastAsia"/>
        </w:rPr>
        <w:t>Unless otherwise provided in the Act or the Enforcement Decree of the same Act (hereinafter “the Enforcement Decree”), matters related to the Commission’s fact-finding investigations shall be governed by these Regulations.</w:t>
      </w:r>
    </w:p>
    <w:p>
      <w:bookmarkStart w:id="5" w:name="J4-0:0"/>
      <w:bookmarkEnd w:id="5"/>
      <w:r>
        <w:rPr>
          <w:lang w:bidi="en-US"/>
          <w:rFonts w:eastAsiaTheme="minorHAnsi"/>
        </w:rPr>
        <w:t>□ </w:t>
      </w:r>
      <w:r>
        <w:rPr>
          <w:lang w:bidi="en-US"/>
          <w:rFonts w:hint="eastAsia"/>
          <w:b/>
          <w:color w:val="004F88"/>
        </w:rPr>
        <w:t>Article 4: Requests for Protection of Information Providers and Others</w:t>
      </w:r>
      <w:r>
        <w:rPr>
          <w:lang w:bidi="en-US"/>
          <w:rFonts w:eastAsiaTheme="minorHAnsi"/>
        </w:rPr>
        <w:br/>
      </w:r>
      <w:r>
        <w:rPr>
          <w:lang w:bidi="en-US"/>
          <w:rFonts w:hint="eastAsia"/>
        </w:rPr>
        <w:t xml:space="preserve">If the Chairperson determines that an individual who has participated in an investigation </w:t>
      </w:r>
      <w:r>
        <w:rPr>
          <w:lang w:bidi="en-US"/>
          <w:rFonts w:hint="eastAsia"/>
        </w:rPr>
        <w:t>or submitted relevant materials faces a threat or potential threat to life or physical safety from others, the Chairperson may direct Commission staff to provide personal protection or may request protection from the appropriate authorities.</w:t>
      </w:r>
    </w:p>
    <w:p>
      <w:bookmarkStart w:id="6" w:name="J5-0:0"/>
      <w:bookmarkEnd w:id="6"/>
      <w:r>
        <w:rPr>
          <w:lang w:bidi="en-US"/>
          <w:rFonts w:eastAsiaTheme="minorHAnsi"/>
        </w:rPr>
        <w:t>□ </w:t>
      </w:r>
      <w:r>
        <w:rPr>
          <w:lang w:bidi="en-US"/>
          <w:rFonts w:hint="eastAsia"/>
          <w:b/>
          <w:color w:val="004F88"/>
        </w:rPr>
        <w:t>Article 5: Service of Documents</w:t>
      </w:r>
      <w:r>
        <w:rPr>
          <w:lang w:bidi="en-US"/>
          <w:rFonts w:eastAsiaTheme="minorHAnsi"/>
        </w:rPr>
        <w:br/>
      </w:r>
      <w:r>
        <w:rPr>
          <w:lang w:bidi="en-US"/>
          <w:rFonts w:hint="eastAsia"/>
        </w:rPr>
        <w:t>① Documents shall be served by post, except in the following cases:  </w:t>
      </w:r>
    </w:p>
    <w:p>
      <w:r>
        <w:rPr>
          <w:lang w:bidi="en-US"/>
          <w:rFonts w:hint="eastAsia"/>
        </w:rPr>
        <w:t>1. Where personal service is made; </w:t>
      </w:r>
    </w:p>
    <w:p>
      <w:r>
        <w:rPr>
          <w:lang w:bidi="en-US"/>
          <w:rFonts w:hint="eastAsia"/>
        </w:rPr>
        <w:t>2. Where the essential content of the document can be conveyed orally; </w:t>
      </w:r>
    </w:p>
    <w:p>
      <w:r>
        <w:rPr>
          <w:lang w:bidi="en-US"/>
          <w:rFonts w:hint="eastAsia"/>
        </w:rPr>
        <w:t>3. Where the recipient is a member of a central administrative agency or its affiliates, a local government body, or a military institution as defined under Article 2 of the Regulations on the Operation and Innovation of Administrative Affairs and is able to receive electronic service via the administrative information system specified in Article 3(1)(12) of the same Regulations; or </w:t>
      </w:r>
    </w:p>
    <w:p>
      <w:r>
        <w:rPr>
          <w:lang w:bidi="en-US"/>
          <w:rFonts w:hint="eastAsia"/>
        </w:rPr>
        <w:t>4. Where urgent or unavoidable circumstances require service by telephone, fax, email, or mobile text message. </w:t>
      </w:r>
    </w:p>
    <w:p>
      <w:r>
        <w:rPr>
          <w:lang w:bidi="en-US"/>
          <w:rFonts w:hint="eastAsia"/>
        </w:rPr>
        <w:t>② When served by post, delivery shall be made by registered mail or certified mail. In cases falling under subparagraphs 1, 2, or 4 of paragraph 1, a Service Report shall be completed (Attached Form 1). </w:t>
      </w:r>
    </w:p>
    <w:p>
      <w:r>
        <w:rPr>
          <w:lang w:bidi="en-US"/>
          <w:rFonts w:hint="eastAsia"/>
        </w:rPr>
        <w:t>③ In the case of paragraph 1, subparagraph 3, service shall be deemed complete once the recipient confirms receipt of the electronically posted document. However, if confirmation is not made within one week of the notification date, service shall be deemed complete on the tenth day following notification. Any period during which the recipient is unable to access the electronic document due to system failures or other unavoidable reasons shall be excluded from this calculation. </w:t>
      </w:r>
    </w:p>
    <w:p>
      <w:pPr>
        <w:rPr>
          <w:b/>
          <w:bCs/>
        </w:rPr>
      </w:pPr>
      <w:bookmarkStart w:id="7" w:name="JP6-0:0"/>
      <w:bookmarkEnd w:id="7"/>
      <w:r>
        <w:rPr>
          <w:lang w:bidi="en-US"/>
          <w:rFonts w:hint="eastAsia"/>
          <w:b/>
        </w:rPr>
        <w:t>       </w:t>
      </w:r>
      <w:r>
        <w:rPr>
          <w:lang w:bidi="en-US"/>
          <w:rFonts w:hint="eastAsia"/>
          <w:b/>
          <w:color w:val="004F88"/>
        </w:rPr>
        <w:t>Chapter 2: Initiation of Investigation</w:t>
      </w:r>
    </w:p>
    <w:p>
      <w:bookmarkStart w:id="8" w:name="J6-0:0"/>
      <w:bookmarkEnd w:id="8"/>
      <w:r>
        <w:rPr>
          <w:lang w:bidi="en-US"/>
          <w:rFonts w:eastAsiaTheme="minorHAnsi"/>
        </w:rPr>
        <w:t>□</w:t>
      </w:r>
      <w:r>
        <w:rPr>
          <w:lang w:bidi="en-US"/>
          <w:rFonts w:hint="eastAsia"/>
        </w:rPr>
        <w:t> </w:t>
      </w:r>
      <w:r>
        <w:rPr>
          <w:lang w:bidi="en-US"/>
          <w:rFonts w:hint="eastAsia"/>
          <w:b/>
          <w:color w:val="004F88"/>
        </w:rPr>
        <w:t>Article 6: Initiation of Officially Initiated Investigation</w:t>
      </w:r>
      <w:r>
        <w:rPr>
          <w:lang w:bidi="en-US"/>
          <w:rFonts w:hint="eastAsia"/>
        </w:rPr>
        <w:br/>
      </w:r>
      <w:r>
        <w:rPr>
          <w:lang w:bidi="en-US"/>
          <w:rFonts w:hint="eastAsia"/>
        </w:rPr>
        <w:t xml:space="preserve">① Before conducting an officially initiated investigation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Director-in-Charge shall draft an Officially Initiated Investigation Plan (Attached Form 2) and submit it to the Chairperson. The draft plan must specify the case number assignment unit. </w:t>
      </w:r>
    </w:p>
    <w:p>
      <w:r>
        <w:rPr>
          <w:lang w:bidi="en-US"/>
          <w:rFonts w:hint="eastAsia"/>
        </w:rPr>
        <w:t>② The Commission shall deliberate and decide whether to adopt the proposed plan. </w:t>
      </w:r>
    </w:p>
    <w:p>
      <w:r>
        <w:rPr>
          <w:lang w:bidi="en-US"/>
          <w:rFonts w:hint="eastAsia"/>
        </w:rPr>
        <w:t xml:space="preserve">③ If the investigation is approved, the Director of External Cooperation shall promptly </w:t>
      </w:r>
      <w:r>
        <w:rPr>
          <w:lang w:bidi="en-US"/>
          <w:rFonts w:hint="eastAsia"/>
        </w:rPr>
        <w:t>assign a case number based on the specified unit and complete an Officially Initiated Case Log (Attached Form 3). </w:t>
      </w:r>
    </w:p>
    <w:p>
      <w:bookmarkStart w:id="9" w:name="J7-0:0"/>
      <w:bookmarkEnd w:id="9"/>
      <w:r>
        <w:rPr>
          <w:lang w:bidi="en-US"/>
          <w:rFonts w:eastAsiaTheme="minorHAnsi"/>
        </w:rPr>
        <w:t>□</w:t>
      </w:r>
      <w:r>
        <w:rPr>
          <w:lang w:bidi="en-US"/>
          <w:rFonts w:hint="eastAsia"/>
        </w:rPr>
        <w:t> </w:t>
      </w:r>
      <w:r>
        <w:rPr>
          <w:lang w:bidi="en-US"/>
          <w:rFonts w:hint="eastAsia"/>
          <w:b/>
          <w:color w:val="004F88"/>
        </w:rPr>
        <w:t>Article 7: Application for Fact-Finding Investigation</w:t>
      </w:r>
      <w:r>
        <w:rPr>
          <w:lang w:bidi="en-US"/>
          <w:rFonts w:hint="eastAsia"/>
          <w:b/>
        </w:rPr>
        <w:br/>
      </w:r>
      <w:r>
        <w:rPr>
          <w:lang w:bidi="en-US"/>
          <w:rFonts w:hint="eastAsia"/>
        </w:rPr>
        <w:t xml:space="preserve">① Any person wishing to request a fact-finding investigation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xml:space="preserve"> (hereinafter “the applicant”) shall complete the Application for Fact-Finding Investigation (Attached Form 4) and submit it to the Commission. </w:t>
      </w:r>
    </w:p>
    <w:p>
      <w:r>
        <w:rPr>
          <w:lang w:bidi="en-US"/>
          <w:rFonts w:hint="eastAsia"/>
        </w:rPr>
        <w:t>② If the applicant is a foreign national, the application may be submitted in their native language. In such cases, the Director-in-Charge shall attach a Korean translation to the application. </w:t>
      </w:r>
    </w:p>
    <w:p>
      <w:r>
        <w:rPr>
          <w:lang w:bidi="en-US"/>
          <w:rFonts w:hint="eastAsia"/>
        </w:rPr>
        <w:t>③ Applications may be submitted in person, by fax, postal mail, email, or via the Commission's website. </w:t>
      </w:r>
    </w:p>
    <w:p>
      <w:bookmarkStart w:id="10" w:name="J8-0:0"/>
      <w:bookmarkEnd w:id="10"/>
      <w:r>
        <w:rPr>
          <w:lang w:bidi="en-US"/>
          <w:rFonts w:hint="eastAsia"/>
          <w:b/>
        </w:rPr>
        <w:t>□</w:t>
      </w:r>
      <w:r>
        <w:rPr>
          <w:lang w:bidi="en-US"/>
          <w:rFonts w:eastAsiaTheme="minorHAnsi"/>
        </w:rPr>
        <w:t> </w:t>
      </w:r>
      <w:r>
        <w:rPr>
          <w:lang w:bidi="en-US"/>
          <w:rFonts w:eastAsiaTheme="minorHAnsi"/>
          <w:b/>
          <w:bCs/>
          <w:color w:val="004F88"/>
        </w:rPr>
        <w:t>Article 8: Oral Applications</w:t>
      </w:r>
      <w:r>
        <w:rPr>
          <w:lang w:bidi="en-US"/>
          <w:rFonts w:eastAsiaTheme="minorHAnsi"/>
        </w:rPr>
        <w:br/>
      </w:r>
      <w:r>
        <w:rPr>
          <w:lang w:bidi="en-US"/>
          <w:rFonts w:eastAsiaTheme="minorHAnsi"/>
        </w:rPr>
        <w:t xml:space="preserve">When receiving an oral application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25</w:t>
      </w:r>
      <w:r>
        <w:fldChar w:fldCharType="end"/>
      </w:r>
      <w:r>
        <w:rPr>
          <w:lang w:bidi="en-US"/>
          <w:rFonts w:eastAsiaTheme="minorHAnsi"/>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applicant shall first state the details of the request. These details shall be entered into the Application for Fact-Finding Investigation (Attached Form 4), reviewed with the applicant, and confirmed via their signature or seal.</w:t>
      </w:r>
    </w:p>
    <w:p>
      <w:bookmarkStart w:id="11" w:name="J9-0:0"/>
      <w:bookmarkEnd w:id="11"/>
      <w:r>
        <w:rPr>
          <w:lang w:bidi="en-US"/>
          <w:rFonts w:eastAsiaTheme="minorHAnsi"/>
        </w:rPr>
        <w:t>□ </w:t>
      </w:r>
      <w:r>
        <w:rPr>
          <w:lang w:bidi="en-US"/>
          <w:rFonts w:hint="eastAsia"/>
          <w:b/>
          <w:color w:val="004F88"/>
        </w:rPr>
        <w:t>Article 9: Eligibility to Apply</w:t>
      </w:r>
      <w:r>
        <w:rPr>
          <w:lang w:bidi="en-US"/>
          <w:rFonts w:eastAsiaTheme="minorHAnsi"/>
        </w:rPr>
        <w:br/>
      </w:r>
      <w:r>
        <w:rPr>
          <w:lang w:bidi="en-US"/>
          <w:rFonts w:eastAsiaTheme="minorHAnsi"/>
        </w:rPr>
        <w:t xml:space="preserve">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w:t>
      </w:r>
      <w:r>
        <w:fldChar w:fldCharType="end"/>
      </w:r>
      <w:r>
        <w:rPr>
          <w:lang w:bidi="en-US"/>
          <w:rFonts w:eastAsiaTheme="minorHAnsi"/>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eastAsiaTheme="minorHAnsi"/>
        </w:rPr>
        <w:t>, the following individuals or entities may submit a fact-finding investigation request:</w:t>
      </w:r>
      <w:r>
        <w:rPr>
          <w:lang w:bidi="en-US"/>
          <w:rFonts w:hint="eastAsia"/>
        </w:rPr>
        <w:t>  </w:t>
      </w:r>
    </w:p>
    <w:p>
      <w:r>
        <w:rPr>
          <w:lang w:bidi="en-US"/>
          <w:rFonts w:hint="eastAsia"/>
        </w:rPr>
        <w:t>1. The spouse (including common-law spouse), direct ascendants/descendants, or siblings of a deceased person (hereinafter collectively referred to as “bereaved family members”); </w:t>
      </w:r>
    </w:p>
    <w:p>
      <w:r>
        <w:rPr>
          <w:lang w:bidi="en-US"/>
          <w:rFonts w:hint="eastAsia"/>
        </w:rPr>
        <w:t>2. An organization of bereaved family members, provided a list of consenting members is attached; </w:t>
      </w:r>
    </w:p>
    <w:p>
      <w:r>
        <w:rPr>
          <w:lang w:bidi="en-US"/>
          <w:rFonts w:hint="eastAsia"/>
        </w:rPr>
        <w:t>3. Individuals not on official duty at the time of the October 29 Itaewon Disaster who participated in emergency rescue or recovery efforts and suffered harm as a result; </w:t>
      </w:r>
    </w:p>
    <w:p>
      <w:r>
        <w:rPr>
          <w:lang w:bidi="en-US"/>
          <w:rFonts w:hint="eastAsia"/>
        </w:rPr>
        <w:t>4. Individuals running a business or working near the disaster site at the time of the incident who suffered harm as a result; and </w:t>
      </w:r>
    </w:p>
    <w:p>
      <w:r>
        <w:rPr>
          <w:lang w:bidi="en-US"/>
          <w:rFonts w:hint="eastAsia"/>
        </w:rPr>
        <w:t>5. Other individuals who suffered physical, psychological, or economic harm due to the disaster and require recovery support. </w:t>
      </w:r>
    </w:p>
    <w:p>
      <w:bookmarkStart w:id="12" w:name="J10-0:0"/>
      <w:bookmarkEnd w:id="12"/>
      <w:r>
        <w:rPr>
          <w:lang w:bidi="en-US"/>
          <w:rFonts w:eastAsiaTheme="minorHAnsi"/>
        </w:rPr>
        <w:t>□</w:t>
      </w:r>
      <w:r>
        <w:rPr>
          <w:lang w:bidi="en-US"/>
          <w:rFonts w:hint="eastAsia"/>
        </w:rPr>
        <w:t> </w:t>
      </w:r>
      <w:r>
        <w:rPr>
          <w:lang w:bidi="en-US"/>
          <w:rFonts w:hint="eastAsia"/>
          <w:b/>
          <w:color w:val="004F88"/>
        </w:rPr>
        <w:t>Article 10: Application Deadline</w:t>
      </w:r>
      <w:r>
        <w:rPr>
          <w:lang w:bidi="en-US"/>
          <w:rFonts w:hint="eastAsia"/>
          <w:b/>
        </w:rPr>
        <w:br/>
      </w:r>
      <w:r>
        <w:rPr>
          <w:lang w:bidi="en-US"/>
          <w:rFonts w:hint="eastAsia"/>
        </w:rPr>
        <w:t xml:space="preserve">Requests for a fact-finding investigation under these Regulations must be submitted within six months from the date the Commission’s decision to initiate an investigation is made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27</w:t>
      </w:r>
      <w:r>
        <w:fldChar w:fldCharType="end"/>
      </w:r>
      <w:r>
        <w:rPr>
          <w:lang w:bidi="en-US"/>
          <w:rFonts w:hint="eastAsia"/>
        </w:rPr>
        <w:t xml:space="preserve">(1)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w:t>
      </w:r>
    </w:p>
    <w:p>
      <w:bookmarkStart w:id="13" w:name="J11-0:0"/>
      <w:bookmarkEnd w:id="13"/>
      <w:r>
        <w:rPr>
          <w:lang w:bidi="en-US"/>
          <w:rFonts w:eastAsiaTheme="minorHAnsi"/>
        </w:rPr>
        <w:t>□ </w:t>
      </w:r>
      <w:r>
        <w:rPr>
          <w:lang w:bidi="en-US"/>
          <w:rFonts w:hint="eastAsia"/>
          <w:b/>
          <w:color w:val="004F88"/>
        </w:rPr>
        <w:t>Article 11: Authorized Agents and Representatives</w:t>
      </w:r>
      <w:r>
        <w:rPr>
          <w:lang w:bidi="en-US"/>
          <w:rFonts w:eastAsiaTheme="minorHAnsi"/>
        </w:rPr>
        <w:br/>
      </w:r>
      <w:r>
        <w:rPr>
          <w:lang w:bidi="en-US"/>
          <w:rFonts w:hint="eastAsia"/>
        </w:rPr>
        <w:t>① Applicants may appoint an authorized agent. In such cases, a Power of Attorney (Attached Form 5) must be submitted. </w:t>
      </w:r>
    </w:p>
    <w:p>
      <w:r>
        <w:rPr>
          <w:lang w:bidi="en-US"/>
          <w:rFonts w:hint="eastAsia"/>
        </w:rPr>
        <w:t>② Where multiple affected persons jointly submit an application, one authorized representative may be selected among them. </w:t>
      </w:r>
    </w:p>
    <w:p>
      <w:r>
        <w:rPr>
          <w:lang w:bidi="en-US"/>
          <w:rFonts w:hint="eastAsia"/>
        </w:rPr>
        <w:t>③ Applications submitted by a bereaved family organization shall be filed under the name of its representative. </w:t>
      </w:r>
    </w:p>
    <w:p>
      <w:r>
        <w:rPr>
          <w:lang w:bidi="en-US"/>
          <w:rFonts w:hint="eastAsia"/>
        </w:rPr>
        <w:t>④ Where a representative has been designated pursuant to paragraph 2, other affected persons may act through that representative. Any notice or communication addressed to the representative by the Commission shall be deemed delivered to all applicants. </w:t>
      </w:r>
    </w:p>
    <w:p>
      <w:r>
        <w:rPr>
          <w:lang w:bidi="en-US"/>
          <w:rFonts w:hint="eastAsia"/>
        </w:rPr>
        <w:t>⑤ The designated representative must submit a Notification of Appointment, Change, or Dismissal of Representative (Attached Form 6). If the representative is replaced or dismissed, the change must be reported without delay using the same form. </w:t>
      </w:r>
    </w:p>
    <w:p>
      <w:bookmarkStart w:id="14" w:name="J12-0:0"/>
      <w:bookmarkEnd w:id="14"/>
      <w:r>
        <w:rPr>
          <w:lang w:bidi="en-US"/>
          <w:rFonts w:eastAsiaTheme="minorHAnsi"/>
        </w:rPr>
        <w:t>□ </w:t>
      </w:r>
      <w:r>
        <w:rPr>
          <w:lang w:bidi="en-US"/>
          <w:rFonts w:hint="eastAsia"/>
          <w:b/>
          <w:color w:val="004F88"/>
        </w:rPr>
        <w:t>Article 12: Request for Application Supplementation</w:t>
      </w:r>
      <w:r>
        <w:rPr>
          <w:lang w:bidi="en-US"/>
          <w:rFonts w:eastAsiaTheme="minorHAnsi"/>
        </w:rPr>
        <w:br/>
      </w:r>
      <w:r>
        <w:rPr>
          <w:lang w:bidi="en-US"/>
          <w:rFonts w:hint="eastAsia"/>
        </w:rPr>
        <w:t>The Director of External Cooperation may request supplementation of the application via Attached Form 7 in the following cases:  </w:t>
      </w:r>
    </w:p>
    <w:p>
      <w:r>
        <w:rPr>
          <w:lang w:bidi="en-US"/>
          <w:rFonts w:hint="eastAsia"/>
        </w:rPr>
        <w:t>1. The subject matter is determined to fall under the jurisdiction of another institution. </w:t>
      </w:r>
    </w:p>
    <w:p>
      <w:r>
        <w:rPr>
          <w:lang w:bidi="en-US"/>
          <w:rFonts w:hint="eastAsia"/>
        </w:rPr>
        <w:t xml:space="preserve">2. The applicant does not fall within the categories defined in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w:t>
      </w:r>
      <w:r>
        <w:fldChar w:fldCharType="end"/>
      </w:r>
      <w:r>
        <w:rPr>
          <w:lang w:bidi="en-US"/>
          <w:rFonts w:hint="eastAsia"/>
        </w:rPr>
        <w:t xml:space="preserve">, subparagraphs 3 or 5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xml:space="preserve">, or the application does not meet the fact-finding criteria set forth in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6</w:t>
      </w:r>
      <w:r>
        <w:fldChar w:fldCharType="end"/>
      </w:r>
      <w:r>
        <w:rPr>
          <w:lang w:bidi="en-US"/>
          <w:rFonts w:hint="eastAsia"/>
        </w:rPr>
        <w:t xml:space="preserve">(2)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or </w:t>
      </w:r>
    </w:p>
    <w:p>
      <w:r>
        <w:rPr>
          <w:lang w:bidi="en-US"/>
          <w:rFonts w:hint="eastAsia"/>
        </w:rPr>
        <w:t>3. The applicant’s personal information or the details of the application are too vague to determine the substance of the request. </w:t>
      </w:r>
    </w:p>
    <w:p>
      <w:bookmarkStart w:id="15" w:name="J13-0:0"/>
      <w:bookmarkEnd w:id="15"/>
      <w:r>
        <w:rPr>
          <w:lang w:bidi="en-US"/>
          <w:rFonts w:eastAsiaTheme="minorHAnsi"/>
        </w:rPr>
        <w:t>□ </w:t>
      </w:r>
      <w:r>
        <w:rPr>
          <w:lang w:bidi="en-US"/>
          <w:rFonts w:hint="eastAsia"/>
          <w:b/>
          <w:color w:val="004F88"/>
        </w:rPr>
        <w:t>Article 13: Application Log Entry</w:t>
      </w:r>
      <w:r>
        <w:rPr>
          <w:lang w:bidi="en-US"/>
          <w:rFonts w:eastAsiaTheme="minorHAnsi"/>
        </w:rPr>
        <w:br/>
      </w:r>
      <w:r>
        <w:rPr>
          <w:lang w:bidi="en-US"/>
          <w:rFonts w:hint="eastAsia"/>
        </w:rPr>
        <w:t>The receiving officer shall enter the application in the Fact-Finding Investigation Application Log (Attached Form 8) in the order received, as well as enter the information into the system.</w:t>
      </w:r>
    </w:p>
    <w:p>
      <w:bookmarkStart w:id="16" w:name="J14-0:0"/>
      <w:bookmarkEnd w:id="16"/>
      <w:r>
        <w:rPr>
          <w:lang w:bidi="en-US"/>
          <w:rFonts w:eastAsiaTheme="minorHAnsi"/>
        </w:rPr>
        <w:t>□ </w:t>
      </w:r>
      <w:r>
        <w:rPr>
          <w:lang w:bidi="en-US"/>
          <w:rFonts w:hint="eastAsia"/>
          <w:b/>
          <w:color w:val="004F88"/>
        </w:rPr>
        <w:t>Article 14: Issuance of Receipt Confirmation</w:t>
      </w:r>
      <w:r>
        <w:rPr>
          <w:lang w:bidi="en-US"/>
          <w:rFonts w:eastAsiaTheme="minorHAnsi"/>
        </w:rPr>
        <w:br/>
      </w:r>
      <w:r>
        <w:rPr>
          <w:lang w:bidi="en-US"/>
          <w:rFonts w:hint="eastAsia"/>
        </w:rPr>
        <w:t xml:space="preserve">Upon receiving an application, the receiving officer shall issue a Certificate of Receipt for </w:t>
      </w:r>
      <w:r>
        <w:rPr>
          <w:lang w:bidi="en-US"/>
          <w:rFonts w:hint="eastAsia"/>
        </w:rPr>
        <w:t>Fact-Finding Investigation Application (Attached Form 9).</w:t>
      </w:r>
    </w:p>
    <w:p>
      <w:bookmarkStart w:id="17" w:name="J15-0:0"/>
      <w:bookmarkEnd w:id="17"/>
      <w:r>
        <w:rPr>
          <w:lang w:bidi="en-US"/>
          <w:rFonts w:eastAsiaTheme="minorHAnsi"/>
        </w:rPr>
        <w:t>□ </w:t>
      </w:r>
      <w:r>
        <w:rPr>
          <w:lang w:bidi="en-US"/>
          <w:rFonts w:hint="eastAsia"/>
          <w:b/>
          <w:color w:val="004F88"/>
        </w:rPr>
        <w:t>Article 15: Classification of Applications</w:t>
      </w:r>
      <w:r>
        <w:rPr>
          <w:lang w:bidi="en-US"/>
          <w:rFonts w:eastAsiaTheme="minorHAnsi"/>
        </w:rPr>
        <w:br/>
      </w:r>
      <w:r>
        <w:rPr>
          <w:lang w:bidi="en-US"/>
          <w:rFonts w:hint="eastAsia"/>
        </w:rPr>
        <w:t>① The Director of External Cooperation shall review the contents of submitted applications and assign case numbers according to the case type defined in Article 53. </w:t>
      </w:r>
    </w:p>
    <w:p>
      <w:r>
        <w:rPr>
          <w:lang w:bidi="en-US"/>
          <w:rFonts w:hint="eastAsia"/>
        </w:rPr>
        <w:t>② If the case type cannot be clearly classified, the application shall be categorized as an “Other” case. </w:t>
      </w:r>
    </w:p>
    <w:p>
      <w:bookmarkStart w:id="18" w:name="J16-0:0"/>
      <w:bookmarkEnd w:id="18"/>
      <w:r>
        <w:rPr>
          <w:lang w:bidi="en-US"/>
          <w:rFonts w:eastAsiaTheme="minorHAnsi"/>
        </w:rPr>
        <w:t>□ </w:t>
      </w:r>
      <w:r>
        <w:rPr>
          <w:lang w:bidi="en-US"/>
          <w:rFonts w:hint="eastAsia"/>
          <w:b/>
          <w:color w:val="004F88"/>
        </w:rPr>
        <w:t>Article 16: Forwarding Applications to the Relevant Bureau</w:t>
      </w:r>
      <w:r>
        <w:rPr>
          <w:lang w:bidi="en-US"/>
          <w:rFonts w:eastAsiaTheme="minorHAnsi"/>
        </w:rPr>
        <w:br/>
      </w:r>
      <w:r>
        <w:rPr>
          <w:lang w:bidi="en-US"/>
          <w:rFonts w:hint="eastAsia"/>
        </w:rPr>
        <w:t>The Director of External Cooperation shall forward the classified application and all related documents to the appropriate Director-in-Charge without delay.</w:t>
      </w:r>
    </w:p>
    <w:p>
      <w:bookmarkStart w:id="19" w:name="J17-0:0"/>
      <w:bookmarkEnd w:id="19"/>
      <w:r>
        <w:rPr>
          <w:lang w:bidi="en-US"/>
          <w:rFonts w:eastAsiaTheme="minorHAnsi"/>
        </w:rPr>
        <w:t>□ </w:t>
      </w:r>
      <w:r>
        <w:rPr>
          <w:lang w:bidi="en-US"/>
          <w:rFonts w:hint="eastAsia"/>
          <w:b/>
          <w:color w:val="004F88"/>
        </w:rPr>
        <w:t>Article 17: Withdrawal of Application</w:t>
      </w:r>
      <w:r>
        <w:rPr>
          <w:lang w:bidi="en-US"/>
          <w:rFonts w:eastAsiaTheme="minorHAnsi"/>
        </w:rPr>
        <w:br/>
      </w:r>
      <w:r>
        <w:rPr>
          <w:lang w:bidi="en-US"/>
          <w:rFonts w:hint="eastAsia"/>
        </w:rPr>
        <w:t>① Applicants may withdraw their application at any time after submission and before a decision is made under any subparagraph of Article 49. </w:t>
      </w:r>
    </w:p>
    <w:p>
      <w:r>
        <w:rPr>
          <w:lang w:bidi="en-US"/>
          <w:rFonts w:hint="eastAsia"/>
        </w:rPr>
        <w:t>② Withdrawal may be made in writing via the Fact-Finding Investigation Withdrawal Form (Attached Form 10) or orally. In the case of oral withdrawal, the applicant shall state their intent, which will be recorded using the same form and confirmed with the applicant’s signature or seal. </w:t>
      </w:r>
    </w:p>
    <w:p>
      <w:r>
        <w:rPr>
          <w:lang w:bidi="en-US"/>
          <w:rFonts w:hint="eastAsia"/>
        </w:rPr>
        <w:t>③ The Director-in-Charge shall report the withdrawal to the Chairperson, and upon confirmation, the case shall be closed. However, if the Chairperson deems it necessary to proceed with the investigation, the matter may be referred to the Commission for consideration as an officially initiated investigation. </w:t>
      </w:r>
    </w:p>
    <w:p>
      <w:bookmarkStart w:id="20" w:name="J18-0:0"/>
      <w:bookmarkEnd w:id="20"/>
      <w:r>
        <w:rPr>
          <w:lang w:bidi="en-US"/>
          <w:rFonts w:eastAsiaTheme="minorHAnsi"/>
        </w:rPr>
        <w:t>□</w:t>
      </w:r>
      <w:r>
        <w:rPr>
          <w:lang w:bidi="en-US"/>
          <w:rFonts w:hint="eastAsia"/>
        </w:rPr>
        <w:t> </w:t>
      </w:r>
      <w:r>
        <w:rPr>
          <w:lang w:bidi="en-US"/>
          <w:rFonts w:hint="eastAsia"/>
          <w:b/>
          <w:color w:val="004F88"/>
        </w:rPr>
        <w:t>Article 18: Succession of Status</w:t>
      </w:r>
      <w:r>
        <w:rPr>
          <w:lang w:bidi="en-US"/>
          <w:rFonts w:hint="eastAsia"/>
        </w:rPr>
        <w:br/>
      </w:r>
      <w:r>
        <w:rPr>
          <w:lang w:bidi="en-US"/>
          <w:rFonts w:hint="eastAsia"/>
        </w:rPr>
        <w:t xml:space="preserve">If the applicant dies after submitting an application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Commission shall obtain a Notice of Succession of Status (Attached Form 11) from the applicant’s legal successor and include it in the case record.</w:t>
      </w:r>
    </w:p>
    <w:p>
      <w:bookmarkStart w:id="21" w:name="J19-0:0"/>
      <w:bookmarkEnd w:id="21"/>
      <w:r>
        <w:rPr>
          <w:lang w:bidi="en-US"/>
          <w:rFonts w:eastAsiaTheme="minorHAnsi"/>
        </w:rPr>
        <w:t>□ </w:t>
      </w:r>
      <w:r>
        <w:rPr>
          <w:lang w:bidi="en-US"/>
          <w:rFonts w:hint="eastAsia"/>
          <w:b/>
          <w:color w:val="004F88"/>
        </w:rPr>
        <w:t>Article 19: Review of Fact-Finding Investigation Applications</w:t>
      </w:r>
      <w:r>
        <w:rPr>
          <w:lang w:bidi="en-US"/>
          <w:rFonts w:eastAsiaTheme="minorHAnsi"/>
        </w:rPr>
        <w:br/>
      </w:r>
      <w:r>
        <w:rPr>
          <w:lang w:bidi="en-US"/>
          <w:rFonts w:hint="eastAsia"/>
        </w:rPr>
        <w:t>① The Director-in-Charge shall review the fact-finding investigation application and all related materials, and promptly prepare an Evaluation Report (Attached Form 12) for submission to the Chairperson. </w:t>
      </w:r>
    </w:p>
    <w:p>
      <w:r>
        <w:rPr>
          <w:lang w:bidi="en-US"/>
          <w:rFonts w:hint="eastAsia"/>
        </w:rPr>
        <w:t>② If the case requires a preliminary investigation or formal initiation, the report must outline the matters to be investigated, the rationale, and the investigation plan. For cases recommended for dismissal, the report must specify the points verified and the grounds for dismissal. </w:t>
      </w:r>
    </w:p>
    <w:p>
      <w:r>
        <w:rPr>
          <w:lang w:bidi="en-US"/>
          <w:rFonts w:hint="eastAsia"/>
        </w:rPr>
        <w:t>③ If the facts require clarification or additional details, the applicant may be asked to supplement the application using the Request for Supplementation of Fact-Finding Investigation Application (Attached Form 7). </w:t>
      </w:r>
    </w:p>
    <w:p>
      <w:bookmarkStart w:id="22" w:name="J20-0:0"/>
      <w:bookmarkEnd w:id="22"/>
      <w:r>
        <w:rPr>
          <w:lang w:bidi="en-US"/>
          <w:rFonts w:eastAsiaTheme="minorHAnsi"/>
        </w:rPr>
        <w:t>□ </w:t>
      </w:r>
      <w:r>
        <w:rPr>
          <w:lang w:bidi="en-US"/>
          <w:rFonts w:hint="eastAsia"/>
          <w:b/>
          <w:color w:val="004F88"/>
        </w:rPr>
        <w:t>Article 20: Preliminary Investigation</w:t>
      </w:r>
      <w:r>
        <w:rPr>
          <w:lang w:bidi="en-US"/>
          <w:rFonts w:eastAsiaTheme="minorHAnsi"/>
        </w:rPr>
        <w:br/>
      </w:r>
      <w:r>
        <w:rPr>
          <w:lang w:bidi="en-US"/>
          <w:rFonts w:hint="eastAsia"/>
        </w:rPr>
        <w:t>① The Commission may conduct a preliminary investigation to the extent necessary to determine whether to initiate an officially initiated or application-based investigation. </w:t>
      </w:r>
    </w:p>
    <w:p>
      <w:r>
        <w:rPr>
          <w:lang w:bidi="en-US"/>
          <w:rFonts w:hint="eastAsia"/>
        </w:rPr>
        <w:t>② In the case of a preliminary investigation into an officially initiated matter, a case number shall be assigned and the case title recorded in the Case Record Log.  </w:t>
      </w:r>
    </w:p>
    <w:p>
      <w:r>
        <w:rPr>
          <w:lang w:bidi="en-US"/>
          <w:rFonts w:hint="eastAsia"/>
        </w:rPr>
        <w:t>③ The procedures and methods outlined in Articles 22 through 42 shall apply to preliminary investigations. </w:t>
      </w:r>
    </w:p>
    <w:p>
      <w:r>
        <w:rPr>
          <w:lang w:bidi="en-US"/>
          <w:rFonts w:hint="eastAsia"/>
        </w:rPr>
        <w:t>④ Once the preliminary investigation is complete, its findings shall be reported to the Chairperson. </w:t>
      </w:r>
    </w:p>
    <w:p>
      <w:r>
        <w:rPr>
          <w:lang w:bidi="en-US"/>
          <w:rFonts w:hint="eastAsia"/>
        </w:rPr>
        <w:t>⑤ If the case proceeds to investigation, the report must include the investigation scope, details, rationale, and plan. If the case is to be dismissed, the report must summarize the investigation and explain the reasons for dismissal. </w:t>
      </w:r>
    </w:p>
    <w:p>
      <w:bookmarkStart w:id="23" w:name="J21-0:0"/>
      <w:bookmarkEnd w:id="23"/>
      <w:r>
        <w:rPr>
          <w:lang w:bidi="en-US"/>
          <w:rFonts w:eastAsiaTheme="minorHAnsi"/>
        </w:rPr>
        <w:t>□ </w:t>
      </w:r>
      <w:r>
        <w:rPr>
          <w:lang w:bidi="en-US"/>
          <w:rFonts w:hint="eastAsia"/>
          <w:b/>
          <w:color w:val="004F88"/>
        </w:rPr>
        <w:t>Article 21: Decision to Initiate Investigation</w:t>
      </w:r>
      <w:r>
        <w:rPr>
          <w:lang w:bidi="en-US"/>
          <w:rFonts w:eastAsiaTheme="minorHAnsi"/>
        </w:rPr>
        <w:br/>
      </w:r>
      <w:r>
        <w:rPr>
          <w:lang w:bidi="en-US"/>
          <w:rFonts w:hint="eastAsia"/>
        </w:rPr>
        <w:t>① Based on the review of the application or the findings of a preliminary investigation, the Commission shall deliberate and make a decision on one of the following: </w:t>
      </w:r>
    </w:p>
    <w:p>
      <w:r>
        <w:rPr>
          <w:lang w:bidi="en-US"/>
          <w:rFonts w:hint="eastAsia"/>
        </w:rPr>
        <w:t>1. Dismissal; or </w:t>
      </w:r>
    </w:p>
    <w:p>
      <w:r>
        <w:rPr>
          <w:lang w:bidi="en-US"/>
          <w:rFonts w:hint="eastAsia"/>
        </w:rPr>
        <w:t>2. Initiation of investigation </w:t>
      </w:r>
    </w:p>
    <w:p>
      <w:r>
        <w:rPr>
          <w:lang w:bidi="en-US"/>
          <w:rFonts w:hint="eastAsia"/>
        </w:rPr>
        <w:t xml:space="preserve">② If, during the course of an investigation, any grounds for dismissal as outlined in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26</w:t>
      </w:r>
      <w:r>
        <w:fldChar w:fldCharType="end"/>
      </w:r>
      <w:r>
        <w:rPr>
          <w:lang w:bidi="en-US"/>
          <w:rFonts w:hint="eastAsia"/>
        </w:rPr>
        <w:t xml:space="preserve">(1)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xml:space="preserve"> are identified, the matter shall be reported to the Chairperson and resolved by a decision of the Commission. </w:t>
      </w:r>
    </w:p>
    <w:p>
      <w:pPr>
        <w:rPr>
          <w:b/>
          <w:bCs/>
        </w:rPr>
      </w:pPr>
      <w:bookmarkStart w:id="24" w:name="JP22-0:0"/>
      <w:bookmarkEnd w:id="24"/>
      <w:r>
        <w:rPr>
          <w:lang w:bidi="en-US"/>
          <w:rFonts w:hint="eastAsia"/>
          <w:b/>
        </w:rPr>
        <w:t>       </w:t>
      </w:r>
      <w:r>
        <w:rPr>
          <w:lang w:bidi="en-US"/>
          <w:rFonts w:hint="eastAsia"/>
          <w:b/>
          <w:color w:val="004F88"/>
        </w:rPr>
        <w:t>Chapter 3: Investigation of Cases</w:t>
      </w:r>
    </w:p>
    <w:p>
      <w:bookmarkStart w:id="25" w:name="J22-0:0"/>
      <w:bookmarkEnd w:id="25"/>
      <w:r>
        <w:rPr>
          <w:lang w:bidi="en-US"/>
          <w:rFonts w:eastAsiaTheme="minorHAnsi"/>
        </w:rPr>
        <w:t>□ </w:t>
      </w:r>
      <w:r>
        <w:rPr>
          <w:lang w:bidi="en-US"/>
          <w:rFonts w:hint="eastAsia"/>
          <w:b/>
          <w:color w:val="004F88"/>
        </w:rPr>
        <w:t>Article 22: Investigation Procedures</w:t>
      </w:r>
      <w:r>
        <w:rPr>
          <w:lang w:bidi="en-US"/>
          <w:rFonts w:eastAsiaTheme="minorHAnsi"/>
        </w:rPr>
        <w:br/>
      </w:r>
      <w:r>
        <w:rPr>
          <w:lang w:bidi="en-US"/>
          <w:rFonts w:hint="eastAsia"/>
        </w:rPr>
        <w:t>① The Chairperson may assign an investigator to any case for which the Commission has decided to initiate an investigation. </w:t>
      </w:r>
    </w:p>
    <w:p>
      <w:r>
        <w:rPr>
          <w:lang w:bidi="en-US"/>
          <w:rFonts w:hint="eastAsia"/>
        </w:rPr>
        <w:t>② Investigators must carry identification verifying their authority, such as an Investigator ID Card (Attached Form 13), and present it to relevant parties upon request. </w:t>
      </w:r>
    </w:p>
    <w:p>
      <w:r>
        <w:rPr>
          <w:lang w:bidi="en-US"/>
          <w:rFonts w:hint="eastAsia"/>
        </w:rPr>
        <w:t xml:space="preserve">③ All investigative actions shall be documented in writing, including requests for </w:t>
      </w:r>
      <w:r>
        <w:rPr>
          <w:lang w:bidi="en-US"/>
          <w:rFonts w:hint="eastAsia"/>
        </w:rPr>
        <w:t xml:space="preserve">statements or appearance; the collection and preservation of documents or items; inquiries to relevant institutions or organizations; expert consultations; and on-site inspections,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(1)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w:t>
      </w:r>
    </w:p>
    <w:p>
      <w:r>
        <w:rPr>
          <w:lang w:bidi="en-US"/>
          <w:rFonts w:hint="eastAsia"/>
        </w:rPr>
        <w:t>④ Where deemed necessary, the Commission may allow relevant experts and others to participate in the investigation and may seek the opinions of domestic and international experts, stakeholders, and individuals with relevant knowledge and experience through public hearings or other appropriate means. </w:t>
      </w:r>
    </w:p>
    <w:p>
      <w:r>
        <w:rPr>
          <w:lang w:bidi="en-US"/>
          <w:rFonts w:hint="eastAsia"/>
        </w:rPr>
        <w:t>⑤ If deemed necessary for the investigation, the Director-in-Charge may request assistance from the relevant department head within the Secretariat. </w:t>
      </w:r>
    </w:p>
    <w:p>
      <w:r>
        <w:rPr>
          <w:lang w:bidi="en-US"/>
          <w:rFonts w:hint="eastAsia"/>
        </w:rPr>
        <w:t>⑥ Commissioners may request access to investigation materials or interim progress reports. In such cases, the Chairperson may require the Director-in-Charge or relevant staff to attend, present related documents, and provide a summary of the investigation’s progress and findings. </w:t>
      </w:r>
    </w:p>
    <w:p>
      <w:bookmarkStart w:id="26" w:name="J23-0:0"/>
      <w:bookmarkEnd w:id="26"/>
      <w:r>
        <w:rPr>
          <w:lang w:bidi="en-US"/>
          <w:rFonts w:eastAsiaTheme="minorHAnsi"/>
        </w:rPr>
        <w:t>□ </w:t>
      </w:r>
      <w:r>
        <w:rPr>
          <w:lang w:bidi="en-US"/>
          <w:rFonts w:hint="eastAsia"/>
          <w:b/>
          <w:color w:val="004F88"/>
        </w:rPr>
        <w:t>Article 23: Request for Written Statements</w:t>
      </w:r>
      <w:r>
        <w:rPr>
          <w:lang w:bidi="en-US"/>
          <w:rFonts w:eastAsiaTheme="minorHAnsi"/>
        </w:rPr>
        <w:br/>
      </w:r>
      <w:r>
        <w:rPr>
          <w:lang w:bidi="en-US"/>
          <w:rFonts w:eastAsiaTheme="minorHAnsi"/>
        </w:rPr>
        <w:t xml:space="preserve">Requests for written statements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eastAsiaTheme="minorHAnsi"/>
        </w:rPr>
        <w:t xml:space="preserve">(1)(1)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xml:space="preserve"> shall be made using the Request for Submission (Attached Form 14).</w:t>
      </w:r>
    </w:p>
    <w:p>
      <w:bookmarkStart w:id="27" w:name="J24-0:0"/>
      <w:bookmarkEnd w:id="27"/>
      <w:r>
        <w:rPr>
          <w:lang w:bidi="en-US"/>
          <w:rFonts w:eastAsiaTheme="minorHAnsi"/>
        </w:rPr>
        <w:t>□ </w:t>
      </w:r>
      <w:r>
        <w:rPr>
          <w:lang w:bidi="en-US"/>
          <w:rFonts w:hint="eastAsia"/>
          <w:b/>
          <w:color w:val="004F88"/>
        </w:rPr>
        <w:t>Article 24: Request for Appearance</w:t>
      </w:r>
      <w:r>
        <w:rPr>
          <w:lang w:bidi="en-US"/>
          <w:rFonts w:eastAsiaTheme="minorHAnsi"/>
        </w:rPr>
        <w:br/>
      </w:r>
      <w:r>
        <w:rPr>
          <w:lang w:bidi="en-US"/>
          <w:rFonts w:eastAsiaTheme="minorHAnsi"/>
        </w:rPr>
        <w:t xml:space="preserve">Requests for the appearance of an investigation subject or reference witness,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eastAsiaTheme="minorHAnsi"/>
        </w:rPr>
        <w:t xml:space="preserve">(1)(2)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shall be issued using the Notice to Appear (Attached Form 15).</w:t>
      </w:r>
    </w:p>
    <w:p>
      <w:bookmarkStart w:id="28" w:name="J25-0:0"/>
      <w:bookmarkEnd w:id="28"/>
      <w:r>
        <w:rPr>
          <w:lang w:bidi="en-US"/>
          <w:rFonts w:eastAsiaTheme="minorHAnsi"/>
        </w:rPr>
        <w:t>□ </w:t>
      </w:r>
      <w:r>
        <w:rPr>
          <w:lang w:bidi="en-US"/>
          <w:rFonts w:hint="eastAsia"/>
          <w:b/>
          <w:color w:val="004F88"/>
        </w:rPr>
        <w:t>Article 25: Taking Statements from Investigation Subjects</w:t>
      </w:r>
      <w:r>
        <w:rPr>
          <w:lang w:bidi="en-US"/>
          <w:rFonts w:eastAsiaTheme="minorHAnsi"/>
        </w:rPr>
        <w:br/>
      </w:r>
      <w:r>
        <w:rPr>
          <w:lang w:bidi="en-US"/>
          <w:rFonts w:hint="eastAsia"/>
        </w:rPr>
        <w:t>① When taking a statement from the subject of investigation under Article 28(1)(2) of the Act, a Statement of Interviewee (Attached Form 16) shall be completed. If the statement involves only simple factual confirmation by telephone or similar means, a simplified Investigation Report (Attached Form 17) may be used instead. </w:t>
      </w:r>
    </w:p>
    <w:p>
      <w:r>
        <w:rPr>
          <w:lang w:bidi="en-US"/>
          <w:rFonts w:hint="eastAsia"/>
        </w:rPr>
        <w:t>② Before taking the statement, the subject must be informed of their right to remain silent and to consult with legal counsel, pursuant to Article 244-3 of the Criminal Procedure Act. The investigator must ask whether the subject intends to exercise these rights and record the response in the Statement. </w:t>
      </w:r>
    </w:p>
    <w:p>
      <w:r>
        <w:rPr>
          <w:lang w:bidi="en-US"/>
          <w:rFonts w:hint="eastAsia"/>
        </w:rPr>
        <w:t>③ The completed Statement of Interviewee must be shown or read to the subject. If the record is inaccurate or incomplete and the subject raises objections or provides additional input, those remarks shall be added to the Statement. Any section to which the subject raised objections must remain clearly legible. </w:t>
      </w:r>
    </w:p>
    <w:p>
      <w:r>
        <w:rPr>
          <w:lang w:bidi="en-US"/>
          <w:rFonts w:hint="eastAsia"/>
        </w:rPr>
        <w:t>④ If the investigation subject states that they have no objection to the contents of the Statement, they shall write “No Objection” at the bottom of the statement, place their signature or seal across the page margin, and either sign or seal the document. </w:t>
      </w:r>
    </w:p>
    <w:p>
      <w:bookmarkStart w:id="29" w:name="J26-0:0"/>
      <w:bookmarkEnd w:id="29"/>
      <w:r>
        <w:rPr>
          <w:lang w:bidi="en-US"/>
          <w:rFonts w:eastAsiaTheme="minorHAnsi"/>
        </w:rPr>
        <w:t>□</w:t>
      </w:r>
      <w:r>
        <w:rPr>
          <w:lang w:bidi="en-US"/>
          <w:rFonts w:hint="eastAsia"/>
        </w:rPr>
        <w:t> </w:t>
      </w:r>
      <w:r>
        <w:rPr>
          <w:lang w:bidi="en-US"/>
          <w:rFonts w:hint="eastAsia"/>
          <w:b/>
          <w:color w:val="004F88"/>
        </w:rPr>
        <w:t>Article 26: Taking Statements from Reference Witnesses</w:t>
      </w:r>
      <w:r>
        <w:rPr>
          <w:lang w:bidi="en-US"/>
          <w:rFonts w:hint="eastAsia"/>
          <w:b/>
        </w:rPr>
        <w:br/>
      </w:r>
      <w:r>
        <w:rPr>
          <w:lang w:bidi="en-US"/>
          <w:rFonts w:hint="eastAsia"/>
        </w:rPr>
        <w:t xml:space="preserve">① When taking a statement from a reference witness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(1)(2)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a Statement of Witness (Attached Form 18) shall be completed. If only simple facts are confirmed by telephone or similar means, the simplified Investigation Report (Attached Form 17) may be used instead. </w:t>
      </w:r>
    </w:p>
    <w:p>
      <w:r>
        <w:rPr>
          <w:lang w:bidi="en-US"/>
          <w:rFonts w:hint="eastAsia"/>
        </w:rPr>
        <w:t>② The completed Statement of Interviewee must be shown or read aloud to the reference witness. The witness shall be asked whether any part of the statement is inaccurately recorded or differs from the facts. If the witness raises any objections, requests additions or amendments, or provides further remarks, such statements must be added to the record. Any section to which the witness raised objections must remain clearly legible. </w:t>
      </w:r>
    </w:p>
    <w:p>
      <w:r>
        <w:rPr>
          <w:lang w:bidi="en-US"/>
          <w:rFonts w:hint="eastAsia"/>
        </w:rPr>
        <w:t>③ If the witness confirms that there are no objections, they shall write “No Objection” at the bottom of the Statement Record, place their signature or seal across the page margin, and either sign or seal the document. </w:t>
      </w:r>
    </w:p>
    <w:p>
      <w:bookmarkStart w:id="30" w:name="J27-0:0"/>
      <w:bookmarkEnd w:id="30"/>
      <w:r>
        <w:rPr>
          <w:lang w:bidi="en-US"/>
          <w:rFonts w:eastAsiaTheme="minorHAnsi"/>
        </w:rPr>
        <w:t>□ </w:t>
      </w:r>
      <w:r>
        <w:rPr>
          <w:lang w:bidi="en-US"/>
          <w:rFonts w:hint="eastAsia"/>
          <w:b/>
          <w:color w:val="004F88"/>
        </w:rPr>
        <w:t>Article 27: Presence of a Support Person During Statement Collection</w:t>
      </w:r>
      <w:r>
        <w:rPr>
          <w:lang w:bidi="en-US"/>
          <w:rFonts w:eastAsiaTheme="minorHAnsi"/>
        </w:rPr>
        <w:br/>
      </w:r>
      <w:r>
        <w:rPr>
          <w:lang w:bidi="en-US"/>
          <w:rFonts w:hint="eastAsia"/>
        </w:rPr>
        <w:t>① An investigator may permit the presence of an individual who can help ensure the psychological stability of and facilitate communication with a subject of investigation or a reference witness, such as a lineal relative, sibling, spouse, family member, or cohabitant, in the following cases: </w:t>
      </w:r>
    </w:p>
    <w:p>
      <w:r>
        <w:rPr>
          <w:lang w:bidi="en-US"/>
          <w:rFonts w:hint="eastAsia"/>
        </w:rPr>
        <w:t>1. When the subject or witness has a physical or mental disability that significantly limits their ability to understand, make, or communicate decisions; or </w:t>
      </w:r>
    </w:p>
    <w:p>
      <w:r>
        <w:rPr>
          <w:lang w:bidi="en-US"/>
          <w:rFonts w:hint="eastAsia"/>
        </w:rPr>
        <w:t>2. When deemed necessary to ensure the psychological stability or effective communication of the subject or reference witness, considering factors such as age and gender. </w:t>
      </w:r>
    </w:p>
    <w:p>
      <w:r>
        <w:rPr>
          <w:lang w:bidi="en-US"/>
          <w:rFonts w:hint="eastAsia"/>
        </w:rPr>
        <w:t xml:space="preserve">② If the subject of investigation, reference witness, or their legal representative requests the presence of a support person as described in paragraph 1, the investigator shall obtain an Application for Accompaniment (Attached Form 19), along with documentation verifying the relationship between the individual and the proposed support person, and include these in the case file. However, if circumstances make it impractical to prepare the form in advance, the request may be verbally acknowledged and recorded in the </w:t>
      </w:r>
      <w:r>
        <w:rPr>
          <w:lang w:bidi="en-US"/>
          <w:rFonts w:hint="eastAsia"/>
        </w:rPr>
        <w:t>Statement of Interviewee. In urgent or clearly necessary cases, the support person may participate first, with the supporting documentation submitted afterward for inclusion in the record. </w:t>
      </w:r>
    </w:p>
    <w:p>
      <w:r>
        <w:rPr>
          <w:lang w:bidi="en-US"/>
          <w:rFonts w:hint="eastAsia"/>
        </w:rPr>
        <w:t>③ Even in the absence of a request under paragraph 2, the investigator may, at their discretion, allow a support person to be present if deemed necessary, after verifying their relationship to the subject or reference witness. In such cases, the relationship must be confirmed and documented in the Statement. </w:t>
      </w:r>
    </w:p>
    <w:p>
      <w:r>
        <w:rPr>
          <w:lang w:bidi="en-US"/>
          <w:rFonts w:hint="eastAsia"/>
        </w:rPr>
        <w:t>④ The investigator may refuse the presence of a support person if there are valid concerns that their presence may unduly interfere with the investigation, such as by breaching confidentiality or obstructing procedures. </w:t>
      </w:r>
    </w:p>
    <w:p>
      <w:r>
        <w:rPr>
          <w:lang w:bidi="en-US"/>
          <w:rFonts w:hint="eastAsia"/>
        </w:rPr>
        <w:t>⑤ The support person shall refrain from any conduct other than providing psychological support or facilitating communication for the subject or reference witness. If the investigator has reasonable grounds to believe that the support person may improperly disrupt the investigation, such as by disclosing confidential information or otherwise interfering, the investigator may terminate the support person’s presence at any point during the proceedings. </w:t>
      </w:r>
    </w:p>
    <w:p>
      <w:bookmarkStart w:id="31" w:name="J28-0:0"/>
      <w:bookmarkEnd w:id="31"/>
      <w:r>
        <w:rPr>
          <w:lang w:bidi="en-US"/>
          <w:rFonts w:eastAsiaTheme="minorHAnsi"/>
        </w:rPr>
        <w:t>□ </w:t>
      </w:r>
      <w:r>
        <w:rPr>
          <w:lang w:bidi="en-US"/>
          <w:rFonts w:hint="eastAsia"/>
          <w:b/>
          <w:color w:val="004F88"/>
        </w:rPr>
        <w:t>Article 28: Preparation and Filing of the Investigation Process Confirmation</w:t>
      </w:r>
      <w:r>
        <w:rPr>
          <w:lang w:bidi="en-US"/>
          <w:rFonts w:eastAsiaTheme="minorHAnsi"/>
        </w:rPr>
        <w:br/>
      </w:r>
      <w:r>
        <w:rPr>
          <w:lang w:bidi="en-US"/>
          <w:rFonts w:hint="eastAsia"/>
        </w:rPr>
        <w:t>When conducting an interview with a subject of investigation or reference witness, the investigator shall complete a Confirmation of Investigation Process (Attached Form 20), affix it to the end of the Statement of Interviewee, and apply a seal to integrate it as part of the Statement. Alternatively, it may be filed separately in the case record.</w:t>
      </w:r>
    </w:p>
    <w:p>
      <w:bookmarkStart w:id="32" w:name="J29-0:0"/>
      <w:bookmarkEnd w:id="32"/>
      <w:r>
        <w:rPr>
          <w:lang w:bidi="en-US"/>
          <w:rFonts w:eastAsiaTheme="minorHAnsi"/>
        </w:rPr>
        <w:t>□ </w:t>
      </w:r>
      <w:r>
        <w:rPr>
          <w:lang w:bidi="en-US"/>
          <w:rFonts w:hint="eastAsia"/>
          <w:b/>
          <w:color w:val="004F88"/>
        </w:rPr>
        <w:t>Article 29: Video Recording of Statements</w:t>
      </w:r>
      <w:r>
        <w:rPr>
          <w:lang w:bidi="en-US"/>
          <w:rFonts w:eastAsiaTheme="minorHAnsi"/>
        </w:rPr>
        <w:br/>
      </w:r>
      <w:r>
        <w:rPr>
          <w:lang w:bidi="en-US"/>
          <w:rFonts w:hint="eastAsia"/>
        </w:rPr>
        <w:t>① If a statement is to be video recorded, the investigator must first obtain the subject’s or witness’s written consent using the Consent to Video or Audio Recording of Statement (Attached Form 21). </w:t>
      </w:r>
    </w:p>
    <w:p>
      <w:r>
        <w:rPr>
          <w:lang w:bidi="en-US"/>
          <w:rFonts w:hint="eastAsia"/>
        </w:rPr>
        <w:t>② If the preparation of the Statement of Interviewee requires a significant amount of time after the investigation, the investigator may suspend video recording during the preparation process and resume it when the statement is reviewed. </w:t>
      </w:r>
    </w:p>
    <w:p>
      <w:r>
        <w:rPr>
          <w:lang w:bidi="en-US"/>
          <w:rFonts w:hint="eastAsia"/>
        </w:rPr>
        <w:t>③ When conducting a video-recorded interview, the investigator must inform the subject or reference witness of the following: </w:t>
      </w:r>
    </w:p>
    <w:p>
      <w:r>
        <w:rPr>
          <w:lang w:bidi="en-US"/>
          <w:rFonts w:hint="eastAsia"/>
        </w:rPr>
        <w:t>1. The investigator’s name and title; </w:t>
      </w:r>
    </w:p>
    <w:p>
      <w:r>
        <w:rPr>
          <w:lang w:bidi="en-US"/>
          <w:rFonts w:hint="eastAsia"/>
        </w:rPr>
        <w:t xml:space="preserve">2. That the interview is being recorded, including the location and the start and end </w:t>
      </w:r>
      <w:r>
        <w:rPr>
          <w:lang w:bidi="en-US"/>
          <w:rFonts w:hint="eastAsia"/>
        </w:rPr>
        <w:t>times; </w:t>
      </w:r>
    </w:p>
    <w:p>
      <w:r>
        <w:rPr>
          <w:lang w:bidi="en-US"/>
          <w:rFonts w:hint="eastAsia"/>
        </w:rPr>
        <w:t xml:space="preserve">3. The right to remain silent and the right to legal counsel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244-3</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Criminal Procedure Act</w:t>
      </w:r>
      <w:r>
        <w:fldChar w:fldCharType="end"/>
      </w:r>
      <w:r>
        <w:rPr>
          <w:lang w:bidi="en-US"/>
          <w:rFonts w:hint="eastAsia"/>
        </w:rPr>
        <w:t xml:space="preserve"> (applicable to subjects of investigation only); and  </w:t>
      </w:r>
    </w:p>
    <w:p>
      <w:r>
        <w:rPr>
          <w:lang w:bidi="en-US"/>
          <w:rFonts w:hint="eastAsia"/>
        </w:rPr>
        <w:t>4. If the recording is paused and resumed, the reasons and corresponding times. </w:t>
      </w:r>
    </w:p>
    <w:p>
      <w:r>
        <w:rPr>
          <w:lang w:bidi="en-US"/>
          <w:rFonts w:hint="eastAsia"/>
        </w:rPr>
        <w:t>④ The video recording must capture the entire investigation room, and the subject’s or reference witness’ face and voice must be clearly identifiable. </w:t>
      </w:r>
    </w:p>
    <w:p>
      <w:r>
        <w:rPr>
          <w:lang w:bidi="en-US"/>
          <w:rFonts w:hint="eastAsia"/>
        </w:rPr>
        <w:t>⑤ Upon completion of the recording, the video file must be promptly transferred to a storage medium (e.g., CD, DVD, USB thumb drive), sealed in the presence of the subject or witness (or their legal representative), and filed in the case record with their seal or signature. </w:t>
      </w:r>
    </w:p>
    <w:p>
      <w:r>
        <w:rPr>
          <w:lang w:bidi="en-US"/>
          <w:rFonts w:hint="eastAsia"/>
        </w:rPr>
        <w:t>⑥ If the interview is video recorded, a written Statement of Interviewee may be omitted. In such cases, a statement summary or transcript must be prepared and included in the case record. The procedures in Articles 25 and 26 shall apply accordingly. </w:t>
      </w:r>
    </w:p>
    <w:p>
      <w:bookmarkStart w:id="33" w:name="J30-0:0"/>
      <w:bookmarkEnd w:id="33"/>
      <w:r>
        <w:rPr>
          <w:lang w:bidi="en-US"/>
          <w:rFonts w:eastAsiaTheme="minorHAnsi"/>
        </w:rPr>
        <w:t>□ </w:t>
      </w:r>
      <w:r>
        <w:rPr>
          <w:lang w:bidi="en-US"/>
          <w:rFonts w:hint="eastAsia"/>
          <w:b/>
          <w:color w:val="004F88"/>
        </w:rPr>
        <w:t>Article 30: Audio Recording of Statements</w:t>
      </w:r>
      <w:r>
        <w:rPr>
          <w:lang w:bidi="en-US"/>
          <w:rFonts w:eastAsiaTheme="minorHAnsi"/>
        </w:rPr>
        <w:br/>
      </w:r>
      <w:r>
        <w:rPr>
          <w:lang w:bidi="en-US"/>
          <w:rFonts w:hint="eastAsia"/>
        </w:rPr>
        <w:t>① Where deemed necessary during the interview of a subject of investigation or reference witness, the contents of their statement may be audio recorded. The investigator must inform them in advance, and the full process, from beginning to end, must be recorded without interruption. If audio recording is conducted, the subject’s or witness’ written consent must be obtained using the Consent to Video or Audio Recording of Statement (Attached Form 21) and included in the case file. </w:t>
      </w:r>
    </w:p>
    <w:p>
      <w:r>
        <w:rPr>
          <w:lang w:bidi="en-US"/>
          <w:rFonts w:hint="eastAsia"/>
        </w:rPr>
        <w:t>② Paragraphs 3 and 6 of Article 29 shall apply accordingly. </w:t>
      </w:r>
    </w:p>
    <w:p>
      <w:bookmarkStart w:id="34" w:name="J31-0:0"/>
      <w:bookmarkEnd w:id="34"/>
      <w:r>
        <w:rPr>
          <w:lang w:bidi="en-US"/>
          <w:rFonts w:eastAsiaTheme="minorHAnsi"/>
        </w:rPr>
        <w:t>□</w:t>
      </w:r>
      <w:r>
        <w:rPr>
          <w:lang w:bidi="en-US"/>
          <w:rFonts w:hint="eastAsia"/>
        </w:rPr>
        <w:t> </w:t>
      </w:r>
      <w:r>
        <w:rPr>
          <w:lang w:bidi="en-US"/>
          <w:rFonts w:hint="eastAsia"/>
          <w:b/>
          <w:color w:val="004F88"/>
        </w:rPr>
        <w:t>Article 31: Request for Submission of Materials or Items</w:t>
      </w:r>
      <w:r>
        <w:rPr>
          <w:lang w:bidi="en-US"/>
          <w:rFonts w:hint="eastAsia"/>
          <w:b/>
        </w:rPr>
        <w:br/>
      </w:r>
      <w:r>
        <w:rPr>
          <w:lang w:bidi="en-US"/>
          <w:rFonts w:hint="eastAsia"/>
        </w:rPr>
        <w:t xml:space="preserve">① When requesting the submission of materials or items from a subject of investigation, reference witness, or relevant institution, facility, or organization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(1)(3)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investigator shall use the Request for Submission (Attached Form 14). </w:t>
      </w:r>
    </w:p>
    <w:p>
      <w:r>
        <w:rPr>
          <w:lang w:bidi="en-US"/>
          <w:rFonts w:hint="eastAsia"/>
        </w:rPr>
        <w:t>② Upon receipt of such materials or items, the investigator must record the date, location, submitter, and purpose of submission in the Investigation Report (Attached Form 17). </w:t>
      </w:r>
    </w:p>
    <w:p>
      <w:r>
        <w:rPr>
          <w:lang w:bidi="en-US"/>
          <w:rFonts w:hint="eastAsia"/>
        </w:rPr>
        <w:t xml:space="preserve">③ The provisions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Articles 110 through 112</w:t>
      </w:r>
      <w:r>
        <w:fldChar w:fldCharType="end"/>
      </w:r>
      <w:r>
        <w:rPr>
          <w:lang w:bidi="en-US"/>
          <w:rFonts w:hint="eastAsia"/>
        </w:rPr>
        <w:t xml:space="preserv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129 through 131, and 133</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Criminal Procedure Act</w:t>
      </w:r>
      <w:r>
        <w:fldChar w:fldCharType="end"/>
      </w:r>
      <w:r>
        <w:rPr>
          <w:lang w:bidi="en-US"/>
          <w:rFonts w:hint="eastAsia"/>
        </w:rPr>
        <w:t xml:space="preserve"> shall apply accordingly. </w:t>
      </w:r>
    </w:p>
    <w:p>
      <w:bookmarkStart w:id="35" w:name="J32-0:0"/>
      <w:bookmarkEnd w:id="35"/>
      <w:r>
        <w:rPr>
          <w:lang w:bidi="en-US"/>
          <w:rFonts w:eastAsiaTheme="minorHAnsi"/>
        </w:rPr>
        <w:t>□</w:t>
      </w:r>
      <w:r>
        <w:rPr>
          <w:lang w:bidi="en-US"/>
          <w:rFonts w:hint="eastAsia"/>
        </w:rPr>
        <w:t> </w:t>
      </w:r>
      <w:r>
        <w:rPr>
          <w:lang w:bidi="en-US"/>
          <w:rFonts w:hint="eastAsia"/>
          <w:b/>
          <w:color w:val="004F88"/>
        </w:rPr>
        <w:t>Article 32: Custody of Submitted Materials or Items</w:t>
      </w:r>
      <w:r>
        <w:rPr>
          <w:lang w:bidi="en-US"/>
          <w:rFonts w:hint="eastAsia"/>
          <w:b/>
        </w:rPr>
        <w:br/>
      </w:r>
      <w:r>
        <w:rPr>
          <w:lang w:bidi="en-US"/>
          <w:rFonts w:hint="eastAsia"/>
        </w:rPr>
        <w:t xml:space="preserve">① When submitted materials or items must be retained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(1)(3)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investigator shall prepare a Custody Record (Attached Form 22) and a Custody Inventory (Attached Form 23) and provide the inventory to the owner, holder, submitter, or an equivalent party. However, if the owner, holder, submitter, or an equivalent party is a central administrative agency or its affiliated institution, a local government agency, a military agency, or an individual affiliated with any of the foregoing as defined in Article 2 of the Regulations on the Operation and Innovation of Administrative Affairs, delivery of the inventory may be substituted with official transmission via the administrative information system prescribed in Article 3, subparagraph 12 of the same Regulations. </w:t>
      </w:r>
    </w:p>
    <w:p>
      <w:r>
        <w:rPr>
          <w:lang w:bidi="en-US"/>
          <w:rFonts w:hint="eastAsia"/>
        </w:rPr>
        <w:t>② Each item placed in custody must be securely labeled using Attached Form 24, which shall indicate the custody number (per the Custody Inventory), item description, case title, case number, name of the owner, and name of the responsible official. </w:t>
      </w:r>
    </w:p>
    <w:p>
      <w:r>
        <w:rPr>
          <w:lang w:bidi="en-US"/>
          <w:rFonts w:hint="eastAsia"/>
        </w:rPr>
        <w:t>③ For items that are difficult to transport or store, the investigator may assign a custodian or allow the owner or a suitable person to store the item with their consent. In such cases, a Certificate of Custody (Attached Form 25) must be obtained, and the custodian must be selected with care to ensure responsible safekeeping. </w:t>
      </w:r>
    </w:p>
    <w:p>
      <w:r>
        <w:rPr>
          <w:lang w:bidi="en-US"/>
          <w:rFonts w:hint="eastAsia"/>
        </w:rPr>
        <w:t>④ Items that pose a safety hazard may be disposed of. Items prohibited by law from being produced, possessed, owned, or distributed, or that are perishable or otherwise impractical to store, may also be disposed of with the consent of the rightful owner. Disposal must be documented using a Disposal Record (Attached Form 26) and a Disposal Inventory (Attached Form 27), and photographs must be attached. </w:t>
      </w:r>
    </w:p>
    <w:p>
      <w:r>
        <w:rPr>
          <w:lang w:bidi="en-US"/>
          <w:rFonts w:hint="eastAsia"/>
        </w:rPr>
        <w:t>⑤ Reasonable precautions must be taken to prevent the loss, damage, or deterioration of items in custody. </w:t>
      </w:r>
    </w:p>
    <w:p>
      <w:r>
        <w:rPr>
          <w:lang w:bidi="en-US"/>
          <w:rFonts w:hint="eastAsia"/>
        </w:rPr>
        <w:t>⑥ When custody is no longer necessary, the items shall be returned without delay. Items that the owner or holder must continue using may be temporarily returned upon the request of the owner, holder, custodian, or submitter. In such cases, photographic documentation or other preservation measures must be taken prior to return. </w:t>
      </w:r>
    </w:p>
    <w:p>
      <w:bookmarkStart w:id="36" w:name="J33-0:0"/>
      <w:bookmarkEnd w:id="36"/>
      <w:r>
        <w:rPr>
          <w:lang w:bidi="en-US"/>
          <w:rFonts w:eastAsiaTheme="minorHAnsi"/>
        </w:rPr>
        <w:t>□ </w:t>
      </w:r>
      <w:r>
        <w:rPr>
          <w:lang w:bidi="en-US"/>
          <w:rFonts w:hint="eastAsia"/>
          <w:b/>
          <w:color w:val="004F88"/>
        </w:rPr>
        <w:t>Article 33: Inquiry into Facts or Information</w:t>
      </w:r>
      <w:r>
        <w:rPr>
          <w:lang w:bidi="en-US"/>
          <w:rFonts w:eastAsiaTheme="minorHAnsi"/>
        </w:rPr>
        <w:br/>
      </w:r>
      <w:r>
        <w:rPr>
          <w:lang w:bidi="en-US"/>
          <w:rFonts w:eastAsiaTheme="minorHAnsi"/>
        </w:rPr>
        <w:t xml:space="preserve">When inquiring into facts or information deemed relevant to a fact-finding investigation from a related agency, facility, or organization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eastAsiaTheme="minorHAnsi"/>
        </w:rPr>
        <w:t xml:space="preserve">(1)(4)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inquiry shall be made using the Official Inquiry of Facts (Attached Form 28).</w:t>
      </w:r>
    </w:p>
    <w:p>
      <w:bookmarkStart w:id="37" w:name="J34-0:0"/>
      <w:bookmarkEnd w:id="37"/>
      <w:r>
        <w:rPr>
          <w:lang w:bidi="en-US"/>
          <w:rFonts w:eastAsiaTheme="minorHAnsi"/>
        </w:rPr>
        <w:t>□ </w:t>
      </w:r>
      <w:r>
        <w:rPr>
          <w:lang w:bidi="en-US"/>
          <w:rFonts w:hint="eastAsia"/>
          <w:b/>
          <w:color w:val="004F88"/>
        </w:rPr>
        <w:t>Article 34: Request for Expert Opinion</w:t>
      </w:r>
      <w:r>
        <w:rPr>
          <w:lang w:bidi="en-US"/>
          <w:rFonts w:eastAsiaTheme="minorHAnsi"/>
        </w:rPr>
        <w:br/>
      </w:r>
      <w:r>
        <w:rPr>
          <w:lang w:bidi="en-US"/>
          <w:rFonts w:eastAsiaTheme="minorHAnsi"/>
        </w:rPr>
        <w:t xml:space="preserve">When designating an expert and requesting an expert opinion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eastAsiaTheme="minorHAnsi"/>
        </w:rPr>
        <w:t xml:space="preserve">(1)(5)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request shall be submitted using the Request for Expert Evaluation (Attached Form 29).</w:t>
      </w:r>
    </w:p>
    <w:p>
      <w:bookmarkStart w:id="38" w:name="J35-0:0"/>
      <w:bookmarkEnd w:id="38"/>
      <w:r>
        <w:rPr>
          <w:lang w:bidi="en-US"/>
          <w:rFonts w:eastAsiaTheme="minorHAnsi"/>
        </w:rPr>
        <w:t>□</w:t>
      </w:r>
      <w:r>
        <w:rPr>
          <w:lang w:bidi="en-US"/>
          <w:rFonts w:hint="eastAsia"/>
        </w:rPr>
        <w:t> </w:t>
      </w:r>
      <w:r>
        <w:rPr>
          <w:lang w:bidi="en-US"/>
          <w:rFonts w:hint="eastAsia"/>
          <w:b/>
          <w:color w:val="004F88"/>
        </w:rPr>
        <w:t>Article 35: On-Site Investigation</w:t>
      </w:r>
      <w:r>
        <w:rPr>
          <w:lang w:bidi="en-US"/>
          <w:rFonts w:hint="eastAsia"/>
          <w:b/>
        </w:rPr>
        <w:br/>
      </w:r>
      <w:r>
        <w:rPr>
          <w:lang w:bidi="en-US"/>
          <w:rFonts w:hint="eastAsia"/>
        </w:rPr>
        <w:t xml:space="preserve">① When it is deemed necessary to enter a location, facility, or premises to inspect a site, facility, material, or item in the course of the Commission’s duties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(1)(6)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the Commission shall notify the head of the facility in advance of the date, location, and purpose of the investigation. In cases requiring urgency, however, this notification requirement may be waived. </w:t>
      </w:r>
    </w:p>
    <w:p>
      <w:r>
        <w:rPr>
          <w:lang w:bidi="en-US"/>
          <w:rFonts w:hint="eastAsia"/>
        </w:rPr>
        <w:t>② Notification under paragraph 1 shall be issued using the Notification of On-Site Investigation (Attached Form 30). </w:t>
      </w:r>
    </w:p>
    <w:p>
      <w:r>
        <w:rPr>
          <w:lang w:bidi="en-US"/>
          <w:rFonts w:hint="eastAsia"/>
        </w:rPr>
        <w:t>③ Photographs or video recordings may be taken during the on-site investigation as necessary. </w:t>
      </w:r>
    </w:p>
    <w:p>
      <w:r>
        <w:rPr>
          <w:lang w:bidi="en-US"/>
          <w:rFonts w:hint="eastAsia"/>
        </w:rPr>
        <w:t>④ Upon completion of the investigation, an On-Site Investigation Report (Attached Form 31) must be prepared. </w:t>
      </w:r>
    </w:p>
    <w:p>
      <w:r>
        <w:rPr>
          <w:lang w:bidi="en-US"/>
          <w:rFonts w:hint="eastAsia"/>
        </w:rPr>
        <w:t>⑤ If the Chairperson deems it necessary for the conduct of the on-site investigation, the Commission may request cooperation from the chief of the competent police station. </w:t>
      </w:r>
    </w:p>
    <w:p>
      <w:r>
        <w:rPr>
          <w:lang w:bidi="en-US"/>
          <w:rFonts w:hint="eastAsia"/>
        </w:rPr>
        <w:t>⑥ The Chairperson shall determine detailed matters regarding the conduct of investigators and investigative techniques. </w:t>
      </w:r>
    </w:p>
    <w:p>
      <w:bookmarkStart w:id="39" w:name="J36-0:0"/>
      <w:bookmarkEnd w:id="39"/>
      <w:r>
        <w:rPr>
          <w:lang w:bidi="en-US"/>
          <w:rFonts w:eastAsiaTheme="minorHAnsi"/>
        </w:rPr>
        <w:t>□ </w:t>
      </w:r>
      <w:r>
        <w:rPr>
          <w:lang w:bidi="en-US"/>
          <w:rFonts w:hint="eastAsia"/>
          <w:b/>
          <w:color w:val="004F88"/>
        </w:rPr>
        <w:t>Article 36: Statements at the On-Site Investigation Site</w:t>
      </w:r>
      <w:r>
        <w:rPr>
          <w:lang w:bidi="en-US"/>
          <w:rFonts w:eastAsiaTheme="minorHAnsi"/>
        </w:rPr>
        <w:br/>
      </w:r>
      <w:r>
        <w:rPr>
          <w:lang w:bidi="en-US"/>
          <w:rFonts w:hint="eastAsia"/>
        </w:rPr>
        <w:t>① During an on-site investigation, the investigator may request a written statement from, or hear the testimony of, the subject of investigation or a reference witness. </w:t>
      </w:r>
    </w:p>
    <w:p>
      <w:r>
        <w:rPr>
          <w:lang w:bidi="en-US"/>
          <w:rFonts w:hint="eastAsia"/>
        </w:rPr>
        <w:t>② In such cases, Articles 25 through 27 shall apply accordingly. </w:t>
      </w:r>
    </w:p>
    <w:p>
      <w:bookmarkStart w:id="40" w:name="J37-0:0"/>
      <w:bookmarkEnd w:id="40"/>
      <w:r>
        <w:rPr>
          <w:lang w:bidi="en-US"/>
          <w:rFonts w:eastAsiaTheme="minorHAnsi"/>
        </w:rPr>
        <w:t>□</w:t>
      </w:r>
      <w:r>
        <w:rPr>
          <w:lang w:bidi="en-US"/>
          <w:rFonts w:hint="eastAsia"/>
        </w:rPr>
        <w:t> </w:t>
      </w:r>
      <w:r>
        <w:rPr>
          <w:lang w:bidi="en-US"/>
          <w:rFonts w:hint="eastAsia"/>
          <w:b/>
          <w:color w:val="004F88"/>
        </w:rPr>
        <w:t>Article 37: Request for Presentation or Submission of Materials or Items On-Site</w:t>
      </w:r>
      <w:r>
        <w:rPr>
          <w:lang w:bidi="en-US"/>
          <w:rFonts w:hint="eastAsia"/>
          <w:b/>
        </w:rPr>
        <w:br/>
      </w:r>
      <w:r>
        <w:rPr>
          <w:lang w:bidi="en-US"/>
          <w:rFonts w:hint="eastAsia"/>
        </w:rPr>
        <w:t xml:space="preserve">① During an on-site investigation, the investigator may request the manager of the relevant site or facility to submit materials or items deemed necessary. The recipient of such a request must comply without delay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(2)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xml:space="preserve">. If the request is refused, the recipient must submit a written explanation specifying the grounds for refusal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(4)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w:t>
      </w:r>
    </w:p>
    <w:p>
      <w:r>
        <w:rPr>
          <w:lang w:bidi="en-US"/>
          <w:rFonts w:hint="eastAsia"/>
        </w:rPr>
        <w:t xml:space="preserve">② Requests for the submission of materials or items made on-site shall be handled in </w:t>
      </w:r>
      <w:r>
        <w:rPr>
          <w:lang w:bidi="en-US"/>
          <w:rFonts w:hint="eastAsia"/>
        </w:rPr>
        <w:t>accordance with Article 31. If the submitted materials or items need to be retained, Article 32 shall apply accordingly. </w:t>
      </w:r>
    </w:p>
    <w:p>
      <w:bookmarkStart w:id="41" w:name="J38-0:0"/>
      <w:bookmarkEnd w:id="41"/>
      <w:r>
        <w:rPr>
          <w:lang w:bidi="en-US"/>
          <w:rFonts w:eastAsiaTheme="minorHAnsi"/>
        </w:rPr>
        <w:t>□</w:t>
      </w:r>
      <w:r>
        <w:rPr>
          <w:lang w:bidi="en-US"/>
          <w:rFonts w:hint="eastAsia"/>
        </w:rPr>
        <w:t> </w:t>
      </w:r>
      <w:r>
        <w:rPr>
          <w:lang w:bidi="en-US"/>
          <w:rFonts w:hint="eastAsia"/>
          <w:b/>
          <w:color w:val="004F88"/>
        </w:rPr>
        <w:t>Article 38: Access to Investigation Records</w:t>
      </w:r>
      <w:r>
        <w:rPr>
          <w:lang w:bidi="en-US"/>
          <w:rFonts w:hint="eastAsia"/>
          <w:b/>
        </w:rPr>
        <w:br/>
      </w:r>
      <w:r>
        <w:rPr>
          <w:lang w:bidi="en-US"/>
          <w:rFonts w:hint="eastAsia"/>
        </w:rPr>
        <w:t xml:space="preserve">Requests to access investigation records or related materials under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(7)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xml:space="preserve"> shall be submitted using the Request for Submission (Attached Form 14). The recipient of such a request must comply without delay in accordance with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28</w:t>
      </w:r>
      <w:r>
        <w:fldChar w:fldCharType="end"/>
      </w:r>
      <w:r>
        <w:rPr>
          <w:lang w:bidi="en-US"/>
          <w:rFonts w:hint="eastAsia"/>
        </w:rPr>
        <w:t xml:space="preserve">(8)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w:t>
      </w:r>
    </w:p>
    <w:p>
      <w:bookmarkStart w:id="42" w:name="J39-0:0"/>
      <w:bookmarkEnd w:id="42"/>
      <w:r>
        <w:rPr>
          <w:lang w:bidi="en-US"/>
          <w:rFonts w:eastAsiaTheme="minorHAnsi"/>
        </w:rPr>
        <w:t>□</w:t>
      </w:r>
      <w:r>
        <w:rPr>
          <w:lang w:bidi="en-US"/>
          <w:rFonts w:hint="eastAsia"/>
        </w:rPr>
        <w:t> </w:t>
      </w:r>
      <w:r>
        <w:rPr>
          <w:lang w:bidi="en-US"/>
          <w:rFonts w:hint="eastAsia"/>
          <w:b/>
          <w:color w:val="004F88"/>
        </w:rPr>
        <w:t>Article 39: Issuance of Order to Compel Attendance</w:t>
      </w:r>
      <w:r>
        <w:rPr>
          <w:lang w:bidi="en-US"/>
          <w:rFonts w:hint="eastAsia"/>
          <w:b/>
        </w:rPr>
        <w:br/>
      </w:r>
      <w:r>
        <w:rPr>
          <w:lang w:bidi="en-US"/>
          <w:rFonts w:hint="eastAsia"/>
        </w:rPr>
        <w:t xml:space="preserve">① The Chairperson may issue an Order to Compel Attendance by resolution of the Commission in accordance with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29</w:t>
      </w:r>
      <w:r>
        <w:fldChar w:fldCharType="end"/>
      </w:r>
      <w:r>
        <w:rPr>
          <w:lang w:bidi="en-US"/>
          <w:rFonts w:hint="eastAsia"/>
        </w:rPr>
        <w:t xml:space="preserve">(1)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w:t>
      </w:r>
    </w:p>
    <w:p>
      <w:r>
        <w:rPr>
          <w:lang w:bidi="en-US"/>
          <w:rFonts w:hint="eastAsia"/>
        </w:rPr>
        <w:t>② When issuing an Order to Compel Attendance, the order shall be prepared using the prescribed form (Attached Form No. 32), stating the following particulars. The order must be signed and sealed by the Chairperson and entered into the Master Register of Orders to Compel Attendance (Attached Form No. 33). </w:t>
      </w:r>
    </w:p>
    <w:p>
      <w:r>
        <w:rPr>
          <w:lang w:bidi="en-US"/>
          <w:rFonts w:hint="eastAsia"/>
        </w:rPr>
        <w:t>1. Name and address of the person required to attend; </w:t>
      </w:r>
    </w:p>
    <w:p>
      <w:r>
        <w:rPr>
          <w:lang w:bidi="en-US"/>
          <w:rFonts w:hint="eastAsia"/>
        </w:rPr>
        <w:t>2. Reason for issuing the Order; </w:t>
      </w:r>
    </w:p>
    <w:p>
      <w:r>
        <w:rPr>
          <w:lang w:bidi="en-US"/>
          <w:rFonts w:hint="eastAsia"/>
        </w:rPr>
        <w:t>3. Location where attendance is required; </w:t>
      </w:r>
    </w:p>
    <w:p>
      <w:r>
        <w:rPr>
          <w:lang w:bidi="en-US"/>
          <w:rFonts w:hint="eastAsia"/>
        </w:rPr>
        <w:t>4. Date of issuance; </w:t>
      </w:r>
    </w:p>
    <w:p>
      <w:r>
        <w:rPr>
          <w:lang w:bidi="en-US"/>
          <w:rFonts w:hint="eastAsia"/>
        </w:rPr>
        <w:t>5. Validity period and a statement that the order becomes unenforceable after this period and must be returned; and </w:t>
      </w:r>
    </w:p>
    <w:p>
      <w:r>
        <w:rPr>
          <w:lang w:bidi="en-US"/>
          <w:rFonts w:hint="eastAsia"/>
        </w:rPr>
        <w:t>6. A statement that refusal to comply without justifiable reason may result in an administrative fine. </w:t>
      </w:r>
    </w:p>
    <w:p>
      <w:bookmarkStart w:id="43" w:name="J40-0:0"/>
      <w:bookmarkEnd w:id="43"/>
      <w:r>
        <w:rPr>
          <w:lang w:bidi="en-US"/>
          <w:rFonts w:eastAsiaTheme="minorHAnsi"/>
        </w:rPr>
        <w:t>□</w:t>
      </w:r>
      <w:r>
        <w:rPr>
          <w:lang w:bidi="en-US"/>
          <w:rFonts w:hint="eastAsia"/>
        </w:rPr>
        <w:t> </w:t>
      </w:r>
      <w:r>
        <w:rPr>
          <w:lang w:bidi="en-US"/>
          <w:rFonts w:hint="eastAsia"/>
          <w:b/>
          <w:color w:val="004F88"/>
        </w:rPr>
        <w:t>Article 40: Execution of Order to Compel Attendance</w:t>
      </w:r>
      <w:r>
        <w:rPr>
          <w:lang w:bidi="en-US"/>
          <w:rFonts w:hint="eastAsia"/>
        </w:rPr>
        <w:br/>
      </w:r>
      <w:r>
        <w:rPr>
          <w:lang w:bidi="en-US"/>
          <w:rFonts w:hint="eastAsia"/>
        </w:rPr>
        <w:t xml:space="preserve">① The Commission staff may execute an Order to Compel Attendance or may delegate this authority to a correctional officer pursuant to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29</w:t>
      </w:r>
      <w:r>
        <w:fldChar w:fldCharType="end"/>
      </w:r>
      <w:r>
        <w:rPr>
          <w:lang w:bidi="en-US"/>
          <w:rFonts w:hint="eastAsia"/>
        </w:rPr>
        <w:t xml:space="preserve">(5)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In either case, the prescribed information must be recorded in the Master Log of Orders to Compel Attendance (Attached Form 33). </w:t>
      </w:r>
    </w:p>
    <w:p>
      <w:r>
        <w:rPr>
          <w:lang w:bidi="en-US"/>
          <w:rFonts w:hint="eastAsia"/>
        </w:rPr>
        <w:t>② When delegation is made to a correctional officer, the Delegation of Enforcement for Order to Compel Attendance (Attached Form 34) shall be used. </w:t>
      </w:r>
    </w:p>
    <w:p>
      <w:r>
        <w:rPr>
          <w:lang w:bidi="en-US"/>
          <w:rFonts w:hint="eastAsia"/>
        </w:rPr>
        <w:t xml:space="preserve">③ If the Chairperson deems it necessary for the execution of an Order to Compel </w:t>
      </w:r>
      <w:r>
        <w:rPr>
          <w:lang w:bidi="en-US"/>
          <w:rFonts w:hint="eastAsia"/>
        </w:rPr>
        <w:t>Attendance, they may request cooperation from the chief of the police station with jurisdiction over the individual’s residence, or, in the case of active-duty military personnel, from the commander of their assigned unit. </w:t>
      </w:r>
    </w:p>
    <w:p>
      <w:bookmarkStart w:id="44" w:name="J41-0:0"/>
      <w:bookmarkEnd w:id="44"/>
      <w:r>
        <w:rPr>
          <w:lang w:bidi="en-US"/>
          <w:rFonts w:eastAsiaTheme="minorHAnsi"/>
        </w:rPr>
        <w:t>□ </w:t>
      </w:r>
      <w:r>
        <w:rPr>
          <w:lang w:bidi="en-US"/>
          <w:rFonts w:hint="eastAsia"/>
          <w:b/>
          <w:color w:val="004F88"/>
        </w:rPr>
        <w:t>Article 41: Report on Execution of Order to Compel Attendance</w:t>
      </w:r>
      <w:r>
        <w:rPr>
          <w:lang w:bidi="en-US"/>
          <w:rFonts w:eastAsiaTheme="minorHAnsi"/>
        </w:rPr>
        <w:br/>
      </w:r>
      <w:r>
        <w:rPr>
          <w:lang w:bidi="en-US"/>
          <w:rFonts w:hint="eastAsia"/>
        </w:rPr>
        <w:t>① Staff or correctional officers who execute an Order to Compel Attendance must report the results using the Report on Enforcement of Order to Compel Attendance (Attached Form 35). </w:t>
      </w:r>
    </w:p>
    <w:p>
      <w:r>
        <w:rPr>
          <w:lang w:bidi="en-US"/>
          <w:rFonts w:hint="eastAsia"/>
        </w:rPr>
        <w:t>② If execution of the Order to Compel Attendance is not possible, no longer necessary, or if its validity period has expired, the order must be returned without delay along with the Return of Order to Compel Attendance (Attached Form 36). </w:t>
      </w:r>
    </w:p>
    <w:p>
      <w:r>
        <w:rPr>
          <w:lang w:bidi="en-US"/>
          <w:rFonts w:hint="eastAsia"/>
        </w:rPr>
        <w:t>③ In both cases described in paragraphs 1 and 2, the relevant information must be recorded in the Master Log of Orders to Compel Attendance (Attached Form 33). </w:t>
      </w:r>
    </w:p>
    <w:p>
      <w:bookmarkStart w:id="45" w:name="J42-0:0"/>
      <w:bookmarkEnd w:id="45"/>
      <w:r>
        <w:rPr>
          <w:lang w:bidi="en-US"/>
          <w:rFonts w:eastAsiaTheme="minorHAnsi"/>
        </w:rPr>
        <w:t>□ </w:t>
      </w:r>
      <w:r>
        <w:rPr>
          <w:lang w:bidi="en-US"/>
          <w:rFonts w:hint="eastAsia"/>
          <w:b/>
          <w:color w:val="004F88"/>
        </w:rPr>
        <w:t>Article 42: Precautions During Execution of Order to Compel Attendance</w:t>
      </w:r>
      <w:r>
        <w:rPr>
          <w:lang w:bidi="en-US"/>
          <w:rFonts w:eastAsiaTheme="minorHAnsi"/>
        </w:rPr>
        <w:br/>
      </w:r>
      <w:r>
        <w:rPr>
          <w:lang w:bidi="en-US"/>
          <w:rFonts w:hint="eastAsia"/>
        </w:rPr>
        <w:t>When executing an Order to Compel Attendance, all necessary precautions must be taken to ensure that the rights of the individual are not violated.</w:t>
      </w:r>
    </w:p>
    <w:p>
      <w:pPr>
        <w:rPr>
          <w:b/>
          <w:bCs/>
        </w:rPr>
      </w:pPr>
      <w:bookmarkStart w:id="46" w:name="JP43-0:0"/>
      <w:bookmarkEnd w:id="46"/>
      <w:r>
        <w:rPr>
          <w:lang w:bidi="en-US"/>
          <w:rFonts w:hint="eastAsia"/>
          <w:b/>
        </w:rPr>
        <w:t>       </w:t>
      </w:r>
      <w:r>
        <w:rPr>
          <w:lang w:bidi="en-US"/>
          <w:rFonts w:hint="eastAsia"/>
          <w:b/>
          <w:color w:val="004F88"/>
        </w:rPr>
        <w:t>Chapter 4: Management of Case Records</w:t>
      </w:r>
    </w:p>
    <w:p>
      <w:bookmarkStart w:id="47" w:name="J43-0:0"/>
      <w:bookmarkEnd w:id="47"/>
      <w:r>
        <w:rPr>
          <w:lang w:bidi="en-US"/>
          <w:rFonts w:eastAsiaTheme="minorHAnsi"/>
        </w:rPr>
        <w:t>□ </w:t>
      </w:r>
      <w:r>
        <w:rPr>
          <w:lang w:bidi="en-US"/>
          <w:rFonts w:hint="eastAsia"/>
          <w:b/>
          <w:color w:val="004F88"/>
        </w:rPr>
        <w:t>Article 43: Responsibility for Case Record Management</w:t>
      </w:r>
      <w:r>
        <w:rPr>
          <w:lang w:bidi="en-US"/>
          <w:rFonts w:eastAsiaTheme="minorHAnsi"/>
        </w:rPr>
        <w:br/>
      </w:r>
      <w:r>
        <w:rPr>
          <w:lang w:bidi="en-US"/>
          <w:rFonts w:hint="eastAsia"/>
        </w:rPr>
        <w:t>① The Commission shall compile investigation-related materials produced or received for each case into formal case records and manage them electronically. If electronic management is impractical due to large file sizes or similar constraints, the materials may be registered separately, and only the relevant portions may be extracted and managed electronically. </w:t>
      </w:r>
    </w:p>
    <w:p>
      <w:r>
        <w:rPr>
          <w:lang w:bidi="en-US"/>
          <w:rFonts w:hint="eastAsia"/>
        </w:rPr>
        <w:t>② Responsibility for managing case records lies with the Director-in-Charge of the relevant bureau until the materials are transferred to the Documentation and Records Unit, after which the head of the Unit assumes responsibility. The designated case records manager shall oversee all case records, including non-electronic materials, and shall document their contents in the Case Record Log (Attached Form 37). </w:t>
      </w:r>
    </w:p>
    <w:p>
      <w:bookmarkStart w:id="48" w:name="J44-0:0"/>
      <w:bookmarkEnd w:id="48"/>
      <w:r>
        <w:rPr>
          <w:lang w:bidi="en-US"/>
          <w:rFonts w:eastAsiaTheme="minorHAnsi"/>
        </w:rPr>
        <w:t>□ </w:t>
      </w:r>
      <w:r>
        <w:rPr>
          <w:lang w:bidi="en-US"/>
          <w:rFonts w:hint="eastAsia"/>
          <w:b/>
          <w:color w:val="004F88"/>
        </w:rPr>
        <w:t>Article 44: Preparation of Case Records</w:t>
      </w:r>
      <w:r>
        <w:rPr>
          <w:lang w:bidi="en-US"/>
          <w:rFonts w:eastAsiaTheme="minorHAnsi"/>
        </w:rPr>
        <w:br/>
      </w:r>
      <w:r>
        <w:rPr>
          <w:lang w:bidi="en-US"/>
          <w:rFonts w:hint="eastAsia"/>
        </w:rPr>
        <w:t>① Case records shall be organized by case number and arranged in the chronological order of final approval. They must be managed electronically. For hardcopy records not in electronic form, the documents shall also be compiled in chronological order and maintained to prevent damage. </w:t>
      </w:r>
    </w:p>
    <w:p>
      <w:r>
        <w:rPr>
          <w:lang w:bidi="en-US"/>
          <w:rFonts w:hint="eastAsia"/>
        </w:rPr>
        <w:t>② When investigation-related materials are produced or received, the investigator shall draft an Investigation Report via the work management system, attach electronic copies of the materials, and assign a registration number for production or receipt. If electronic attachment is not feasible, the materials shall be registered separately. </w:t>
      </w:r>
    </w:p>
    <w:p>
      <w:r>
        <w:rPr>
          <w:lang w:bidi="en-US"/>
          <w:rFonts w:hint="eastAsia"/>
        </w:rPr>
        <w:t>③ The investigator shall forward the Investigation Report and associated materials, each bearing its registration number, to the Documentation and Records Unit. Upon receipt, the Documentation and Records Unit shall promptly digitize the materials and upload them to the electronic case record system in chronological order of final approval. Access rights shall be set to allow viewing by the responsible investigator, relevant bureau and division directors, the subcommittee chair, and the Chairperson. If the Chairperson deems it necessary, access permissions may be adjusted. </w:t>
      </w:r>
    </w:p>
    <w:p>
      <w:r>
        <w:rPr>
          <w:lang w:bidi="en-US"/>
          <w:rFonts w:hint="eastAsia"/>
        </w:rPr>
        <w:t>④ Each case record shall include a Case Record Cover (Attached Form 38), Case Record Inventory (Attached Form 39), and Directory of Associated Individuals (Attached Form 40). Investigators and Documentation and Records Unit staff shall ensure that the case covers, inventory, and various logs maintained throughout the investigation are promptly registered in the work management system upon conclusion of their respective tasks. </w:t>
      </w:r>
    </w:p>
    <w:p>
      <w:r>
        <w:rPr>
          <w:lang w:bidi="en-US"/>
          <w:rFonts w:hint="eastAsia"/>
        </w:rPr>
        <w:t>⑤ When a case is submitted for deliberation by the Commission, this fact shall be recorded on the cover sheet of the case record. </w:t>
      </w:r>
    </w:p>
    <w:p>
      <w:r>
        <w:rPr>
          <w:lang w:bidi="en-US"/>
          <w:rFonts w:hint="eastAsia"/>
        </w:rPr>
        <w:t>⑥ If two or more cases are found to be identical or closely related, the Director-in-Charge of the relevant bureau may, under the instruction of the Chairperson, merge them into a single case or divide one case into multiple records. </w:t>
      </w:r>
    </w:p>
    <w:p>
      <w:r>
        <w:rPr>
          <w:lang w:bidi="en-US"/>
          <w:rFonts w:hint="eastAsia"/>
        </w:rPr>
        <w:t>⑦ When cases are merged, the records shall be compiled in order of their case numbers. If a case is divided, a separate case record shall be prepared for each new case. In consultation with the Director of External Cooperation, new case numbers shall be assigned, and the result of each case shall be recorded on the respective case record cover. </w:t>
      </w:r>
    </w:p>
    <w:p>
      <w:bookmarkStart w:id="49" w:name="J45-0:0"/>
      <w:bookmarkEnd w:id="49"/>
      <w:r>
        <w:rPr>
          <w:lang w:bidi="en-US"/>
          <w:rFonts w:eastAsiaTheme="minorHAnsi"/>
        </w:rPr>
        <w:t>□ </w:t>
      </w:r>
      <w:r>
        <w:rPr>
          <w:lang w:bidi="en-US"/>
          <w:rFonts w:hint="eastAsia"/>
          <w:b/>
          <w:color w:val="004F88"/>
        </w:rPr>
        <w:t>Article 45: Management of Case Records</w:t>
      </w:r>
      <w:r>
        <w:rPr>
          <w:lang w:bidi="en-US"/>
          <w:rFonts w:eastAsiaTheme="minorHAnsi"/>
        </w:rPr>
        <w:br/>
      </w:r>
      <w:r>
        <w:rPr>
          <w:lang w:bidi="en-US"/>
          <w:rFonts w:hint="eastAsia"/>
        </w:rPr>
        <w:t xml:space="preserve">① When materials or items are submitted or placed into custody pursuant to Articles 31, 32, or 37, the corresponding Investigation Report, along with digital copies of the materials, photographs of items, Custody Records, Custody Inventories, Certificates of Custody, item labels, and related documents shall be registered in the work management system as prescribed in Article 44 and incorporated into the case record. Items in custody shall be sealed in envelopes or appropriately packaged and stored in a secure </w:t>
      </w:r>
      <w:r>
        <w:rPr>
          <w:lang w:bidi="en-US"/>
          <w:rFonts w:hint="eastAsia"/>
        </w:rPr>
        <w:t>location in accordance with the procedures specified in Article 32. </w:t>
      </w:r>
    </w:p>
    <w:p>
      <w:r>
        <w:rPr>
          <w:lang w:bidi="en-US"/>
          <w:rFonts w:hint="eastAsia"/>
        </w:rPr>
        <w:t>② If investigation data are received in the form of computer files, the files shall be registered in the work management system. If the file size or other constraints make direct registration infeasible, a summary or key abstract shall be included in the system, with the original file stored separately in the investigation information system or an alternate storage medium. </w:t>
      </w:r>
    </w:p>
    <w:p>
      <w:r>
        <w:rPr>
          <w:lang w:bidi="en-US"/>
          <w:rFonts w:hint="eastAsia"/>
        </w:rPr>
        <w:t>③ When returning submitted materials or items, the investigator shall include in the case record any photographs or documentation prepared to preserve the original condition of the item, as well as a signed and dated receipt from the recipient, in accordance with Article 44. </w:t>
      </w:r>
    </w:p>
    <w:p>
      <w:bookmarkStart w:id="50" w:name="J46-0:0"/>
      <w:bookmarkEnd w:id="50"/>
      <w:r>
        <w:rPr>
          <w:lang w:bidi="en-US"/>
          <w:rFonts w:eastAsiaTheme="minorHAnsi"/>
        </w:rPr>
        <w:t>□ </w:t>
      </w:r>
      <w:r>
        <w:rPr>
          <w:lang w:bidi="en-US"/>
          <w:rFonts w:hint="eastAsia"/>
          <w:b/>
          <w:color w:val="004F88"/>
        </w:rPr>
        <w:t>Article 46: Transfer and Receipt of Case Records</w:t>
      </w:r>
      <w:r>
        <w:rPr>
          <w:lang w:bidi="en-US"/>
          <w:rFonts w:eastAsiaTheme="minorHAnsi"/>
        </w:rPr>
        <w:br/>
      </w:r>
      <w:r>
        <w:rPr>
          <w:lang w:bidi="en-US"/>
          <w:rFonts w:hint="eastAsia"/>
        </w:rPr>
        <w:t>① When case records are transferred due to staff reassignment or other personnel changes, a Record Transfer and Receipt Form (Attached Form 41) shall be completed. The recipient shall be the immediate supervisor of the transferring personnel. </w:t>
      </w:r>
    </w:p>
    <w:p>
      <w:r>
        <w:rPr>
          <w:lang w:bidi="en-US"/>
          <w:rFonts w:hint="eastAsia"/>
        </w:rPr>
        <w:t>② The recipient shall verify that the physical records correspond to the entries listed in the Case Record Inventory (Attached Form 39). </w:t>
      </w:r>
    </w:p>
    <w:p>
      <w:pPr>
        <w:rPr>
          <w:b/>
          <w:bCs/>
        </w:rPr>
      </w:pPr>
      <w:bookmarkStart w:id="51" w:name="JP47-0:0"/>
      <w:bookmarkEnd w:id="51"/>
      <w:r>
        <w:rPr>
          <w:lang w:bidi="en-US"/>
          <w:rFonts w:hint="eastAsia"/>
          <w:b/>
        </w:rPr>
        <w:t>       </w:t>
      </w:r>
      <w:r>
        <w:rPr>
          <w:lang w:bidi="en-US"/>
          <w:rFonts w:hint="eastAsia"/>
          <w:b/>
          <w:color w:val="004F88"/>
        </w:rPr>
        <w:t>Chapter 5: Conclusion of Investigations</w:t>
      </w:r>
    </w:p>
    <w:p>
      <w:bookmarkStart w:id="52" w:name="J47-0:0"/>
      <w:bookmarkEnd w:id="52"/>
      <w:r>
        <w:rPr>
          <w:lang w:bidi="en-US"/>
          <w:rFonts w:eastAsiaTheme="minorHAnsi"/>
        </w:rPr>
        <w:t>□ </w:t>
      </w:r>
      <w:r>
        <w:rPr>
          <w:lang w:bidi="en-US"/>
          <w:rFonts w:hint="eastAsia"/>
          <w:b/>
          <w:color w:val="004F88"/>
        </w:rPr>
        <w:t>Article 47: Reporting of Investigation Results</w:t>
      </w:r>
      <w:r>
        <w:rPr>
          <w:lang w:bidi="en-US"/>
          <w:rFonts w:eastAsiaTheme="minorHAnsi"/>
        </w:rPr>
        <w:br/>
      </w:r>
      <w:r>
        <w:rPr>
          <w:lang w:bidi="en-US"/>
          <w:rFonts w:hint="eastAsia"/>
        </w:rPr>
        <w:t>① Upon completing an investigation, the Director-in-Charge of the relevant bureau shall prepare a report on the findings and submit it to the Chairperson. </w:t>
      </w:r>
    </w:p>
    <w:p>
      <w:r>
        <w:rPr>
          <w:lang w:bidi="en-US"/>
          <w:rFonts w:hint="eastAsia"/>
        </w:rPr>
        <w:t>② The Investigation Results Report described in paragraph 1 shall include the following items along with any relevant assessments, although the specific phrasing may vary: </w:t>
      </w:r>
    </w:p>
    <w:p>
      <w:r>
        <w:rPr>
          <w:lang w:bidi="en-US"/>
          <w:rFonts w:hint="eastAsia"/>
        </w:rPr>
        <w:t>1. Case title, case number, and parties involved (only applicable in application-based cases);  </w:t>
      </w:r>
    </w:p>
    <w:p>
      <w:r>
        <w:rPr>
          <w:lang w:bidi="en-US"/>
          <w:rFonts w:hint="eastAsia"/>
        </w:rPr>
        <w:t>2. Overview of the October 29 Itaewon Disaster; </w:t>
      </w:r>
    </w:p>
    <w:p>
      <w:r>
        <w:rPr>
          <w:lang w:bidi="en-US"/>
          <w:rFonts w:hint="eastAsia"/>
        </w:rPr>
        <w:t>3. In application-based cases, a summary of the application; in officially initiated investigations, the subject matter of the investigation; </w:t>
      </w:r>
    </w:p>
    <w:p>
      <w:r>
        <w:rPr>
          <w:lang w:bidi="en-US"/>
          <w:rFonts w:hint="eastAsia"/>
        </w:rPr>
        <w:t>4. Investigation methods and progress; </w:t>
      </w:r>
    </w:p>
    <w:p>
      <w:r>
        <w:rPr>
          <w:lang w:bidi="en-US"/>
          <w:rFonts w:hint="eastAsia"/>
        </w:rPr>
        <w:t>5. Key issues and the investigative findings related to each; </w:t>
      </w:r>
    </w:p>
    <w:p>
      <w:r>
        <w:rPr>
          <w:lang w:bidi="en-US"/>
          <w:rFonts w:hint="eastAsia"/>
        </w:rPr>
        <w:t>6. Established facts and key evidence; where necessary, a determination of responsibility; </w:t>
      </w:r>
    </w:p>
    <w:p>
      <w:r>
        <w:rPr>
          <w:lang w:bidi="en-US"/>
          <w:rFonts w:hint="eastAsia"/>
        </w:rPr>
        <w:t>7. Unresolved matters that could not be verified through the investigation; </w:t>
      </w:r>
    </w:p>
    <w:p>
      <w:r>
        <w:rPr>
          <w:lang w:bidi="en-US"/>
          <w:rFonts w:hint="eastAsia"/>
        </w:rPr>
        <w:t>8. Any actions taken during the investigation, including filing a criminal complaint, requesting a criminal investigation or audit, or issuing policy recommendations to government agencies, along with a description of those actions; and </w:t>
      </w:r>
    </w:p>
    <w:p>
      <w:r>
        <w:rPr>
          <w:lang w:bidi="en-US"/>
          <w:rFonts w:hint="eastAsia"/>
        </w:rPr>
        <w:t xml:space="preserve">9. Where the investigation findings indicate the need to file a complaint, request a criminal investigation or audit, or issue a recommendation pursuant to any subparagraph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46</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include the relevant content, justification, and other pertinent details. </w:t>
      </w:r>
    </w:p>
    <w:p>
      <w:r>
        <w:rPr>
          <w:lang w:bidi="en-US"/>
          <w:rFonts w:hint="eastAsia"/>
        </w:rPr>
        <w:t>③ The Investigation Results Report may also include the following: </w:t>
      </w:r>
    </w:p>
    <w:p>
      <w:r>
        <w:rPr>
          <w:lang w:bidi="en-US"/>
          <w:rFonts w:hint="eastAsia"/>
        </w:rPr>
        <w:t>1. Measures to protect reference witnesses or experts, secure important materials, or prevent their destruction; </w:t>
      </w:r>
    </w:p>
    <w:p>
      <w:r>
        <w:rPr>
          <w:lang w:bidi="en-US"/>
          <w:rFonts w:hint="eastAsia"/>
        </w:rPr>
        <w:t>2. Proposals for compensation of or support for individuals who provided key evidence or contributed significantly to the investigation; </w:t>
      </w:r>
    </w:p>
    <w:p>
      <w:r>
        <w:rPr>
          <w:lang w:bidi="en-US"/>
          <w:rFonts w:hint="eastAsia"/>
        </w:rPr>
        <w:t>3. Recommendations for measures that government agencies or related institutions should take concerning unresolved fact-finding cases and the affected person(s) involved; and/or </w:t>
      </w:r>
    </w:p>
    <w:p>
      <w:r>
        <w:rPr>
          <w:lang w:bidi="en-US"/>
          <w:rFonts w:hint="eastAsia"/>
        </w:rPr>
        <w:t xml:space="preserve">4. In addition to the matters specified in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46</w:t>
      </w:r>
      <w:r>
        <w:fldChar w:fldCharType="end"/>
      </w:r>
      <w:r>
        <w:rPr>
          <w:lang w:bidi="en-US"/>
          <w:rFonts w:hint="eastAsia"/>
        </w:rPr>
        <w:t xml:space="preserve">(3)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proposals for the revision or repeal of laws, systems, policies, or practices deemed necessary to prevent recurrence of the disaster. </w:t>
      </w:r>
    </w:p>
    <w:p>
      <w:r>
        <w:rPr>
          <w:lang w:bidi="en-US"/>
          <w:rFonts w:hint="eastAsia"/>
        </w:rPr>
        <w:t>④ The Chairperson shall submit the Investigation Results Report to the Commission as an agenda item for deliberation. </w:t>
      </w:r>
    </w:p>
    <w:p>
      <w:bookmarkStart w:id="53" w:name="J48-0:0"/>
      <w:bookmarkEnd w:id="53"/>
      <w:r>
        <w:rPr>
          <w:lang w:bidi="en-US"/>
          <w:rFonts w:eastAsiaTheme="minorHAnsi"/>
        </w:rPr>
        <w:t>□ </w:t>
      </w:r>
      <w:r>
        <w:rPr>
          <w:lang w:bidi="en-US"/>
          <w:rFonts w:hint="eastAsia"/>
          <w:b/>
          <w:color w:val="004F88"/>
        </w:rPr>
        <w:t>Article 48: Deliberation and Resolution by the Commission</w:t>
      </w:r>
      <w:r>
        <w:rPr>
          <w:lang w:bidi="en-US"/>
          <w:rFonts w:eastAsiaTheme="minorHAnsi"/>
        </w:rPr>
        <w:br/>
      </w:r>
      <w:r>
        <w:rPr>
          <w:lang w:bidi="en-US"/>
          <w:rFonts w:hint="eastAsia"/>
        </w:rPr>
        <w:t>① The Commission shall deliberate on and adopt a resolution regarding the Investigation Results Report. </w:t>
      </w:r>
    </w:p>
    <w:p>
      <w:r>
        <w:rPr>
          <w:lang w:bidi="en-US"/>
          <w:rFonts w:hint="eastAsia"/>
        </w:rPr>
        <w:t>② If, upon review, the Commission determines that further examination or investigation is necessary, it may specify the relevant matters and direct that such follow-up be conducted. </w:t>
      </w:r>
    </w:p>
    <w:p>
      <w:r>
        <w:rPr>
          <w:lang w:bidi="en-US"/>
          <w:rFonts w:hint="eastAsia"/>
        </w:rPr>
        <w:t>③ Once the additional review or investigation has been completed, the Director-in-Charge of the relevant bureau shall report the results to the Chairperson, who shall submit them to the Commission as an agenda item. </w:t>
      </w:r>
    </w:p>
    <w:p>
      <w:r>
        <w:rPr>
          <w:lang w:bidi="en-US"/>
          <w:rFonts w:hint="eastAsia"/>
        </w:rPr>
        <w:t>④ The finalized decision shall be authenticated in both original and certified copies. The Commission shall retain the original, and the certified copy shall be delivered or served to the concerned party. </w:t>
      </w:r>
    </w:p>
    <w:p>
      <w:bookmarkStart w:id="54" w:name="J49-0:0"/>
      <w:bookmarkEnd w:id="54"/>
      <w:r>
        <w:rPr>
          <w:lang w:bidi="en-US"/>
          <w:rFonts w:eastAsiaTheme="minorHAnsi"/>
        </w:rPr>
        <w:t>□ </w:t>
      </w:r>
      <w:r>
        <w:rPr>
          <w:lang w:bidi="en-US"/>
          <w:rFonts w:hint="eastAsia"/>
          <w:b/>
          <w:color w:val="004F88"/>
        </w:rPr>
        <w:t>Article 49: Notification of Decision</w:t>
      </w:r>
      <w:r>
        <w:rPr>
          <w:lang w:bidi="en-US"/>
          <w:rFonts w:eastAsiaTheme="minorHAnsi"/>
        </w:rPr>
        <w:br/>
      </w:r>
      <w:r>
        <w:rPr>
          <w:lang w:bidi="en-US"/>
          <w:rFonts w:hint="eastAsia"/>
        </w:rPr>
        <w:t>In the following cases, the Commission shall notify the applicant of its decision within seven days from the date of the decision, using the Notification of Decision (Attached Form 42), with the finalized decision enclosed. If the applicant is a foreign national, the decision shall be translated into the applicant’s native language. If the applicant is deceased or cannot be located, the notice shall be delivered to the applicant’s spouse or direct lineal ascendant or descendant (hereinafter "the applicant").  </w:t>
      </w:r>
    </w:p>
    <w:p>
      <w:r>
        <w:rPr>
          <w:lang w:bidi="en-US"/>
          <w:rFonts w:hint="eastAsia"/>
        </w:rPr>
        <w:t>1. Decision to dismiss the case;</w:t>
      </w:r>
      <w:r>
        <w:rPr>
          <w:lang w:bidi="en-US"/>
          <w:rFonts w:hint="eastAsia"/>
        </w:rPr>
        <w:br/>
      </w:r>
      <w:r>
        <w:rPr>
          <w:lang w:bidi="en-US"/>
          <w:rFonts w:hint="eastAsia"/>
        </w:rPr>
        <w:t>2. Decision to initiate an investigation; or </w:t>
      </w:r>
    </w:p>
    <w:p>
      <w:r>
        <w:rPr>
          <w:lang w:bidi="en-US"/>
          <w:rFonts w:hint="eastAsia"/>
        </w:rPr>
        <w:t>3. Resolution on the investigation outcome (including confirmation of facts, inability to determine facts, or dismissal). </w:t>
      </w:r>
    </w:p>
    <w:p>
      <w:pPr>
        <w:rPr>
          <w:b/>
          <w:bCs/>
        </w:rPr>
      </w:pPr>
      <w:bookmarkStart w:id="55" w:name="JP50-0:0"/>
      <w:bookmarkEnd w:id="55"/>
      <w:r>
        <w:rPr>
          <w:lang w:bidi="en-US"/>
          <w:rFonts w:hint="eastAsia"/>
          <w:b/>
        </w:rPr>
        <w:t>       </w:t>
      </w:r>
      <w:r>
        <w:rPr>
          <w:lang w:bidi="en-US"/>
          <w:rFonts w:hint="eastAsia"/>
          <w:b/>
          <w:color w:val="004F88"/>
        </w:rPr>
        <w:t>Chapter 6: Objection Procedure</w:t>
      </w:r>
    </w:p>
    <w:p>
      <w:bookmarkStart w:id="56" w:name="J50-0:0"/>
      <w:bookmarkEnd w:id="56"/>
      <w:r>
        <w:rPr>
          <w:lang w:bidi="en-US"/>
          <w:rFonts w:eastAsiaTheme="minorHAnsi"/>
        </w:rPr>
        <w:t>□ </w:t>
      </w:r>
      <w:r>
        <w:rPr>
          <w:lang w:bidi="en-US"/>
          <w:rFonts w:hint="eastAsia"/>
          <w:b/>
          <w:color w:val="004F88"/>
        </w:rPr>
        <w:t>Article 50: Procedure for Filing an Objection</w:t>
      </w:r>
      <w:r>
        <w:rPr>
          <w:lang w:bidi="en-US"/>
          <w:rFonts w:eastAsiaTheme="minorHAnsi"/>
        </w:rPr>
        <w:br/>
      </w:r>
      <w:r>
        <w:rPr>
          <w:lang w:bidi="en-US"/>
          <w:rFonts w:hint="eastAsia"/>
        </w:rPr>
        <w:t>An applicant or other related party may file an objection within 15 days of receiving the decision referred to in Article 49 by submitting an Objection to Decision (Attached Form 43) that includes the following information:  </w:t>
      </w:r>
    </w:p>
    <w:p>
      <w:r>
        <w:rPr>
          <w:lang w:bidi="en-US"/>
          <w:rFonts w:hint="eastAsia"/>
        </w:rPr>
        <w:t>1. Name, date of birth, address, and phone number of the person filing the objection; </w:t>
      </w:r>
    </w:p>
    <w:p>
      <w:r>
        <w:rPr>
          <w:lang w:bidi="en-US"/>
          <w:rFonts w:hint="eastAsia"/>
        </w:rPr>
        <w:t>2. Date the decision was received; </w:t>
      </w:r>
    </w:p>
    <w:p>
      <w:r>
        <w:rPr>
          <w:lang w:bidi="en-US"/>
          <w:rFonts w:hint="eastAsia"/>
        </w:rPr>
        <w:t>3. Details of the decision received; and </w:t>
      </w:r>
    </w:p>
    <w:p>
      <w:r>
        <w:rPr>
          <w:lang w:bidi="en-US"/>
          <w:rFonts w:hint="eastAsia"/>
        </w:rPr>
        <w:t>4. Grounds for the objection. </w:t>
      </w:r>
    </w:p>
    <w:p>
      <w:bookmarkStart w:id="57" w:name="J51-0:0"/>
      <w:bookmarkEnd w:id="57"/>
      <w:r>
        <w:rPr>
          <w:lang w:bidi="en-US"/>
          <w:rFonts w:eastAsiaTheme="minorHAnsi"/>
        </w:rPr>
        <w:t>□ </w:t>
      </w:r>
      <w:r>
        <w:rPr>
          <w:lang w:bidi="en-US"/>
          <w:rFonts w:hint="eastAsia"/>
          <w:b/>
          <w:color w:val="004F88"/>
        </w:rPr>
        <w:t>Article 51: Processing of Objections</w:t>
      </w:r>
      <w:r>
        <w:rPr>
          <w:lang w:bidi="en-US"/>
          <w:rFonts w:eastAsiaTheme="minorHAnsi"/>
        </w:rPr>
        <w:br/>
      </w:r>
      <w:r>
        <w:rPr>
          <w:lang w:bidi="en-US"/>
          <w:rFonts w:hint="eastAsia"/>
        </w:rPr>
        <w:t>① Upon receipt of an objection form, the Director of External Cooperation shall enter the submission into the Objection Submission Log (Attached Form 44) and forward it to the Director-in-Charge of the relevant bureau. </w:t>
      </w:r>
    </w:p>
    <w:p>
      <w:r>
        <w:rPr>
          <w:lang w:bidi="en-US"/>
          <w:rFonts w:hint="eastAsia"/>
        </w:rPr>
        <w:t>② The Director of External Cooperation may request the applicant to supplement the submission using the Request for Supplementation of Objection (Attached Form 45), specifying: </w:t>
      </w:r>
    </w:p>
    <w:p>
      <w:r>
        <w:rPr>
          <w:lang w:bidi="en-US"/>
          <w:rFonts w:hint="eastAsia"/>
        </w:rPr>
        <w:t>1. Information to be supplemented; </w:t>
      </w:r>
    </w:p>
    <w:p>
      <w:r>
        <w:rPr>
          <w:lang w:bidi="en-US"/>
          <w:rFonts w:hint="eastAsia"/>
        </w:rPr>
        <w:t>2. Reason for the request; </w:t>
      </w:r>
    </w:p>
    <w:p>
      <w:r>
        <w:rPr>
          <w:lang w:bidi="en-US"/>
          <w:rFonts w:hint="eastAsia"/>
        </w:rPr>
        <w:t>3. Supplementation period; and </w:t>
      </w:r>
    </w:p>
    <w:p>
      <w:r>
        <w:rPr>
          <w:lang w:bidi="en-US"/>
          <w:rFonts w:hint="eastAsia"/>
        </w:rPr>
        <w:t>4. Any additional relevant details. </w:t>
      </w:r>
    </w:p>
    <w:p>
      <w:r>
        <w:rPr>
          <w:lang w:bidi="en-US"/>
          <w:rFonts w:hint="eastAsia"/>
        </w:rPr>
        <w:t>③ The Director-in-Charge of the relevant bureau shall review the objection and report the findings to the Chairperson using the Objection Review Report (Attached Form 46). The Chairperson shall submit the matter to the Commission for deliberation and decision on whether to reopen the investigation or dismiss the objection. </w:t>
      </w:r>
    </w:p>
    <w:p>
      <w:r>
        <w:rPr>
          <w:lang w:bidi="en-US"/>
          <w:rFonts w:hint="eastAsia"/>
        </w:rPr>
        <w:t>④ If the Commission determines that the objection lacks merit, it shall issue a decision of dismissal. If the objection is found to be valid, the Commission shall decide to initiate or resume an investigation. In either case, the decision must clearly state the reasons and be promptly communicated to the applicant using the Notification of Objection Outcome (Attached Form 47). </w:t>
      </w:r>
    </w:p>
    <w:p>
      <w:r>
        <w:rPr>
          <w:lang w:bidi="en-US"/>
          <w:rFonts w:hint="eastAsia"/>
        </w:rPr>
        <w:t>⑤ A decision on the objection shall be made within 30 days from the date of receipt, excluding any supplementation period. </w:t>
      </w:r>
    </w:p>
    <w:p>
      <w:r>
        <w:rPr>
          <w:lang w:bidi="en-US"/>
          <w:rFonts w:hint="eastAsia"/>
        </w:rPr>
        <w:t>⑥ If the Commission decides to conduct a re-investigation, it shall assign the Director-in-Charge of the relevant bureau to carry it out. If necessary, an investigator who was not involved in the original investigation may be designated. </w:t>
      </w:r>
    </w:p>
    <w:p>
      <w:bookmarkStart w:id="58" w:name="J52-0:0"/>
      <w:bookmarkEnd w:id="58"/>
      <w:r>
        <w:rPr>
          <w:lang w:bidi="en-US"/>
          <w:rFonts w:eastAsiaTheme="minorHAnsi"/>
        </w:rPr>
        <w:t>□ </w:t>
      </w:r>
      <w:r>
        <w:rPr>
          <w:lang w:bidi="en-US"/>
          <w:rFonts w:hint="eastAsia"/>
          <w:b/>
          <w:color w:val="004F88"/>
        </w:rPr>
        <w:t>Article 52: Revision and Notification of the Investigation Results Report</w:t>
      </w:r>
      <w:r>
        <w:rPr>
          <w:lang w:bidi="en-US"/>
          <w:rFonts w:eastAsiaTheme="minorHAnsi"/>
        </w:rPr>
        <w:br/>
      </w:r>
      <w:r>
        <w:rPr>
          <w:lang w:bidi="en-US"/>
          <w:rFonts w:hint="eastAsia"/>
        </w:rPr>
        <w:t>If a re-investigation is conducted, the Commission may revise the previously adopted Investigation Results Report to reflect the new findings through deliberation and resolution. The revised report shall be communicated to the applicant.</w:t>
      </w:r>
    </w:p>
    <w:p>
      <w:pPr>
        <w:rPr>
          <w:b/>
          <w:bCs/>
        </w:rPr>
      </w:pPr>
      <w:bookmarkStart w:id="59" w:name="JP53-0:0"/>
      <w:bookmarkEnd w:id="59"/>
      <w:r>
        <w:rPr>
          <w:lang w:bidi="en-US"/>
          <w:rFonts w:hint="eastAsia"/>
          <w:b/>
        </w:rPr>
        <w:t>       </w:t>
      </w:r>
      <w:r>
        <w:rPr>
          <w:lang w:bidi="en-US"/>
          <w:rFonts w:hint="eastAsia"/>
          <w:b/>
          <w:color w:val="004F88"/>
        </w:rPr>
        <w:t>Chapter 7: Supplementary Provisions</w:t>
      </w:r>
    </w:p>
    <w:p>
      <w:bookmarkStart w:id="60" w:name="J53-0:0"/>
      <w:bookmarkEnd w:id="60"/>
      <w:r>
        <w:rPr>
          <w:lang w:bidi="en-US"/>
          <w:rFonts w:eastAsiaTheme="minorHAnsi"/>
        </w:rPr>
        <w:t>□ </w:t>
      </w:r>
      <w:r>
        <w:rPr>
          <w:lang w:bidi="en-US"/>
          <w:rFonts w:hint="eastAsia"/>
          <w:b/>
          <w:color w:val="004F88"/>
        </w:rPr>
        <w:t>Article 53: Case Classification Codes</w:t>
      </w:r>
      <w:r>
        <w:rPr>
          <w:lang w:bidi="en-US"/>
          <w:rFonts w:eastAsiaTheme="minorHAnsi"/>
        </w:rPr>
        <w:br/>
      </w:r>
      <w:r>
        <w:rPr>
          <w:lang w:bidi="en-US"/>
          <w:rFonts w:hint="eastAsia"/>
        </w:rPr>
        <w:t>Case numbers may be accompanied by the following letter codes, assigned according to case type and in serial order:  </w:t>
      </w:r>
    </w:p>
    <w:p>
      <w:r>
        <w:rPr>
          <w:lang w:bidi="en-US"/>
          <w:rFonts w:hint="eastAsia"/>
        </w:rPr>
        <w:t xml:space="preserve">1. “JG”: Officially Initiated investigations handled by the Bureau of Fact-Finding Investigation on the October 29 Itaewon Disaster, pursuant to the first clause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w:t>
      </w:r>
    </w:p>
    <w:p>
      <w:r>
        <w:rPr>
          <w:lang w:bidi="en-US"/>
          <w:rFonts w:hint="eastAsia"/>
        </w:rPr>
        <w:t xml:space="preserve">2. “JN”: Officially initiated investigations under subparagraphs 2 through 5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6</w:t>
      </w:r>
      <w:r>
        <w:fldChar w:fldCharType="end"/>
      </w:r>
      <w:r>
        <w:rPr>
          <w:lang w:bidi="en-US"/>
          <w:rFonts w:hint="eastAsia"/>
        </w:rPr>
        <w:t xml:space="preserve">(2) </w:t>
      </w:r>
      <w:r>
        <w:rPr>
          <w:lang w:bidi="en-US"/>
          <w:rFonts w:hint="eastAsia"/>
        </w:rPr>
        <w:t xml:space="preserve">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handled by the Bureau for a Safe Society </w:t>
      </w:r>
    </w:p>
    <w:p>
      <w:r>
        <w:rPr>
          <w:lang w:bidi="en-US"/>
          <w:rFonts w:hint="eastAsia"/>
        </w:rPr>
        <w:t>3. “JD”: Preliminary investigations pursuant to Article 20(2) </w:t>
      </w:r>
    </w:p>
    <w:p>
      <w:r>
        <w:rPr>
          <w:lang w:bidi="en-US"/>
          <w:rFonts w:hint="eastAsia"/>
        </w:rPr>
        <w:t xml:space="preserve">4. “SG”: Application-based investigations handled by the Bureau of Fact-Finding Investigation, pursuant to the second clause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24</w:t>
      </w:r>
      <w:r>
        <w:fldChar w:fldCharType="end"/>
      </w:r>
      <w:r>
        <w:rPr>
          <w:lang w:bidi="en-US"/>
          <w:rFonts w:hint="eastAsia"/>
        </w:rPr>
        <w:t xml:space="preserve">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w:t>
      </w:r>
    </w:p>
    <w:p>
      <w:r>
        <w:rPr>
          <w:lang w:bidi="en-US"/>
          <w:rFonts w:hint="eastAsia"/>
        </w:rPr>
        <w:t xml:space="preserve">5. “SN”: Application-based investigations under subparagraphs 2 through 5 of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Article 6</w:t>
      </w:r>
      <w:r>
        <w:fldChar w:fldCharType="end"/>
      </w:r>
      <w:r>
        <w:rPr>
          <w:lang w:bidi="en-US"/>
          <w:rFonts w:hint="eastAsia"/>
        </w:rPr>
        <w:t xml:space="preserve">(2) of the </w:t>
      </w:r>
      <w:r>
        <w:fldChar w:fldCharType="begin"/>
      </w:r>
      <w:r>
        <w:instrText xml:space="preserve"> HYPERLINK "https://www.law.go.kr/LSW/admRulInfoP.do?admRulSeq=2100000253386&amp;chrClsCd=010201" \l "AJAX"\o "Open pop-up"</w:instrText>
      </w:r>
      <w:r>
        <w:fldChar w:fldCharType="separate"/>
      </w:r>
      <w:r>
        <w:rPr>
          <w:rStyle w:val="aa"/>
          <w:lang w:bidi="en-US"/>
          <w:rFonts w:hint="eastAsia"/>
        </w:rPr>
        <w:t>Act</w:t>
      </w:r>
      <w:r>
        <w:fldChar w:fldCharType="end"/>
      </w:r>
      <w:r>
        <w:rPr>
          <w:lang w:bidi="en-US"/>
          <w:rFonts w:hint="eastAsia"/>
        </w:rPr>
        <w:t>, handled by the Bureau for a Safe Society </w:t>
      </w:r>
    </w:p>
    <w:p>
      <w:r>
        <w:rPr>
          <w:lang w:bidi="en-US"/>
          <w:rFonts w:hint="eastAsia"/>
        </w:rPr>
        <w:t>6. “ETC”: Applications determined to fall under another institution’s jurisdiction or outside the scope of the Commission’s authority </w:t>
      </w:r>
    </w:p>
    <w:p>
      <w:bookmarkStart w:id="61" w:name="J54-0:0"/>
      <w:bookmarkEnd w:id="61"/>
      <w:r>
        <w:rPr>
          <w:lang w:bidi="en-US"/>
          <w:rFonts w:eastAsiaTheme="minorHAnsi"/>
        </w:rPr>
        <w:t>□ </w:t>
      </w:r>
      <w:r>
        <w:rPr>
          <w:lang w:bidi="en-US"/>
          <w:rFonts w:hint="eastAsia"/>
          <w:b/>
          <w:color w:val="004F88"/>
        </w:rPr>
        <w:t>Article 54: Cooperation with Domestic and International Institutions</w:t>
      </w:r>
      <w:r>
        <w:rPr>
          <w:lang w:bidi="en-US"/>
          <w:rFonts w:eastAsiaTheme="minorHAnsi"/>
        </w:rPr>
        <w:br/>
      </w:r>
      <w:r>
        <w:rPr>
          <w:lang w:bidi="en-US"/>
          <w:rFonts w:hint="eastAsia"/>
        </w:rPr>
        <w:t>To advance its fact-finding efforts, the Chairperson may promote cooperation and exchange with domestic and international institutions. If necessary, the Chairperson may also arrange for commissioners and staff to receive relevant training or collect materials.</w:t>
      </w:r>
    </w:p>
    <w:p>
      <w:bookmarkStart w:id="62" w:name="J55-0:0"/>
      <w:bookmarkEnd w:id="62"/>
      <w:r>
        <w:rPr>
          <w:lang w:bidi="en-US"/>
          <w:rFonts w:eastAsiaTheme="minorHAnsi"/>
        </w:rPr>
        <w:t>□ </w:t>
      </w:r>
      <w:r>
        <w:rPr>
          <w:lang w:bidi="en-US"/>
          <w:rFonts w:hint="eastAsia"/>
          <w:b/>
          <w:color w:val="004F88"/>
        </w:rPr>
        <w:t>Article 55: Protection of Investigative Activities</w:t>
      </w:r>
      <w:r>
        <w:rPr>
          <w:lang w:bidi="en-US"/>
          <w:rFonts w:eastAsiaTheme="minorHAnsi"/>
        </w:rPr>
        <w:br/>
      </w:r>
      <w:r>
        <w:rPr>
          <w:lang w:bidi="en-US"/>
          <w:rFonts w:hint="eastAsia"/>
        </w:rPr>
        <w:t>① No person shall interfere with the Commission’s investigative activities by assaulting, threatening, deceiving, or abusing authority against any commissioner, staff member, advisory committee member, or expert. </w:t>
      </w:r>
    </w:p>
    <w:p>
      <w:r>
        <w:rPr>
          <w:lang w:bidi="en-US"/>
          <w:rFonts w:hint="eastAsia"/>
        </w:rPr>
        <w:t>② If the Chairperson determines that any commissioner, staff member, investigation subject, expert, or reference witness is under threat or at risk of harm to life or physical safety, the Chairperson may request personal protection measures from the relevant authorities. The requested authority must comply with the request unless there is a justifiable reason not to comply. </w:t>
      </w:r>
    </w:p>
    <w:p>
      <w:bookmarkStart w:id="63" w:name="J56-0:0"/>
      <w:bookmarkEnd w:id="63"/>
      <w:r>
        <w:rPr>
          <w:lang w:bidi="en-US"/>
          <w:rFonts w:eastAsiaTheme="minorHAnsi"/>
        </w:rPr>
        <w:t>□ </w:t>
      </w:r>
      <w:r>
        <w:rPr>
          <w:lang w:bidi="en-US"/>
          <w:rFonts w:hint="eastAsia"/>
          <w:b/>
          <w:color w:val="004F88"/>
        </w:rPr>
        <w:t>Article 56: Amendment of Forms</w:t>
      </w:r>
      <w:r>
        <w:rPr>
          <w:lang w:bidi="en-US"/>
          <w:rFonts w:eastAsiaTheme="minorHAnsi"/>
        </w:rPr>
        <w:br/>
      </w:r>
      <w:r>
        <w:rPr>
          <w:lang w:bidi="en-US"/>
          <w:rFonts w:hint="eastAsia"/>
        </w:rPr>
        <w:t>The forms attached to these Regulations may be amended and used at the Chairperson’s discretion.</w:t>
      </w:r>
    </w:p>
    <w:p/>
    <w:p>
      <w:pPr>
        <w:rPr>
          <w:color w:val="004F88"/>
        </w:rPr>
      </w:pPr>
      <w:r>
        <w:rPr>
          <w:lang w:bidi="en-US"/>
          <w:noProof/>
        </w:rPr>
        <w:drawing>
          <wp:inline distT="0" distB="0" distL="0" distR="0">
            <wp:extent cx="114300" cy="114300"/>
            <wp:effectExtent l="0" t="0" r="0" b="0"/>
            <wp:docPr id="1025" name="그림 2" descr="부칙&lt;제2025-11호, 2025.01.12.&gt;조문목록 없음"/>
            <wp:cNvGraphicFramePr/>
            <a:graphic xmlns:a="http://schemas.openxmlformats.org/drawingml/2006/main">
              <a:graphicData uri="http://schemas.openxmlformats.org/drawingml/2006/picture">
                <pic:pic xmlns:pic="http://schemas.openxmlformats.org/drawingml/2006/picture">
                  <pic:nvPicPr>
                    <pic:cNvPr id="1025" name="그림 2" descr="부칙&lt;제2025-11호, 2025.01.12.&gt;조문목록 없음"/>
                    <pic:cNvPicPr>
                      <a:picLocks noUngrp="1"/>
                    </pic:cNvPicPr>
                  </pic:nvPicPr>
                  <pic:blipFill>
                    <a:blip r:embed="rId1">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a:ln>
                      <a:noFill/>
                    </a:ln>
                  </pic:spPr>
                </pic:pic>
              </a:graphicData>
            </a:graphic>
          </wp:inline>
        </w:drawing>
      </w:r>
      <w:r>
        <w:rPr>
          <w:lang w:bidi="en-US"/>
          <w:rFonts w:hint="eastAsia"/>
        </w:rPr>
        <w:t>  </w:t>
      </w:r>
      <w:r>
        <w:fldChar w:fldCharType="begin"/>
      </w:r>
      <w:r>
        <w:instrText xml:space="preserve"> HYPERLINK "https://www.law.go.kr/LSW/admRulInfoP.do?admRulSeq=2100000253386&amp;chrClsCd=010201" \l "AJAX"</w:instrText>
      </w:r>
      <w:r>
        <w:fldChar w:fldCharType="separate"/>
      </w:r>
      <w:r>
        <w:rPr>
          <w:rStyle w:val="aa"/>
          <w:lang w:bidi="en-US"/>
          <w:rFonts w:hint="eastAsia"/>
          <w:b/>
          <w:color w:val="004F88"/>
        </w:rPr>
        <w:t>Addenda</w:t>
      </w:r>
      <w:r>
        <w:rPr>
          <w:rStyle w:val="aa"/>
          <w:lang w:bidi="en-US"/>
          <w:rFonts w:hint="eastAsia"/>
          <w:color w:val="004F88"/>
        </w:rPr>
        <w:t xml:space="preserve"> &lt;Notification No. 2025-11; January 12, 2025&gt;</w:t>
      </w:r>
      <w:r>
        <w:fldChar w:fldCharType="end"/>
      </w:r>
    </w:p>
    <w:p>
      <w:r>
        <w:rPr>
          <w:lang w:bidi="en-US"/>
          <w:rFonts w:hint="eastAsia"/>
          <w:b/>
          <w:color w:val="004F88"/>
        </w:rPr>
        <w:t>Article 1: Effective Date</w:t>
      </w:r>
      <w:r>
        <w:rPr>
          <w:lang w:bidi="en-US"/>
          <w:rFonts w:hint="eastAsia"/>
          <w:b/>
        </w:rPr>
        <w:br/>
      </w:r>
      <w:r>
        <w:rPr>
          <w:lang w:bidi="en-US"/>
          <w:rFonts w:hint="eastAsia"/>
        </w:rPr>
        <w:t>These Regulations shall take effect on the date of promulgation.</w:t>
      </w:r>
    </w:p>
    <w:p>
      <w:r>
        <w:rPr>
          <w:lang w:bidi="en-US"/>
          <w:rFonts w:hint="eastAsia"/>
          <w:b/>
          <w:color w:val="004F88"/>
        </w:rPr>
        <w:t>Article 2: Repeal of Previous Regulations</w:t>
      </w:r>
      <w:r>
        <w:rPr>
          <w:lang w:bidi="en-US"/>
          <w:rFonts w:hint="eastAsia"/>
          <w:b/>
        </w:rPr>
        <w:br/>
      </w:r>
      <w:r>
        <w:rPr>
          <w:lang w:bidi="en-US"/>
          <w:rFonts w:hint="eastAsia"/>
        </w:rPr>
        <w:t xml:space="preserve">The “Regulations on Applications for Fact-Finding Investigations by the National </w:t>
      </w:r>
      <w:r>
        <w:rPr>
          <w:lang w:bidi="en-US"/>
          <w:rFonts w:hint="eastAsia"/>
        </w:rPr>
        <w:t xml:space="preserve">Commission for the Investigation of the the October 29 Itaewon Disaster,” enforced on October 2, 2024, are hereby repealed.  </w:t>
      </w:r>
    </w:p>
    <w:p>
      <w:r>
        <w:rPr>
          <w:lang w:bidi="en-US"/>
          <w:rFonts w:hint="eastAsia"/>
          <w:b/>
          <w:color w:val="004F88"/>
        </w:rPr>
        <w:t>Article 3: Relation to Other Regulations</w:t>
      </w:r>
      <w:r>
        <w:rPr>
          <w:lang w:bidi="en-US"/>
          <w:rFonts w:hint="eastAsia"/>
          <w:b/>
        </w:rPr>
        <w:br/>
      </w:r>
      <w:r>
        <w:rPr>
          <w:lang w:bidi="en-US"/>
          <w:rFonts w:hint="eastAsia"/>
        </w:rPr>
        <w:t>Unless otherwise specified in these Regulations, the Act, Enforcement Decree, and Rules of Operation shall apply.</w:t>
      </w:r>
    </w:p>
    <w:p>
      <w:r>
        <w:rPr>
          <w:lang w:bidi="en-US"/>
          <w:rFonts w:hint="eastAsia"/>
          <w:b/>
          <w:color w:val="004F88"/>
        </w:rPr>
        <w:t>Article 4: Transitional Provisions</w:t>
      </w:r>
      <w:r>
        <w:rPr>
          <w:lang w:bidi="en-US"/>
          <w:rFonts w:hint="eastAsia"/>
          <w:b/>
        </w:rPr>
        <w:br/>
      </w:r>
      <w:r>
        <w:rPr>
          <w:lang w:bidi="en-US"/>
          <w:rFonts w:hint="eastAsia"/>
        </w:rPr>
        <w:t>Investigations conducted prior to the enforcement of these Regulations shall be deemed to have been conducted under these Regulations.</w:t>
      </w:r>
    </w:p>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th-TH"/>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2"/>
        <w:szCs w:val="24"/>
        <w:kern w:val="2"/>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paragraph" w:styleId="1">
    <w:name w:val="heading 1"/>
    <w:uiPriority w:val="9"/>
    <w:basedOn w:val="a"/>
    <w:next w:val="a"/>
    <w:link w:val="1Char"/>
    <w:qFormat/>
    <w:pPr>
      <w:keepNext/>
      <w:keepLines/>
      <w:outlineLvl w:val="0"/>
      <w:spacing w:after="80" w:before="280"/>
    </w:pPr>
    <w:rPr>
      <w:rFonts w:asciiTheme="majorHAnsi" w:eastAsiaTheme="majorEastAsia" w:hAnsiTheme="majorHAnsi" w:cstheme="majorBidi"/>
      <w:color w:val="000000"/>
      <w:sz w:val="32"/>
      <w:szCs w:val="32"/>
    </w:rPr>
  </w:style>
  <w:style w:type="paragraph" w:styleId="2">
    <w:name w:val="heading 2"/>
    <w:uiPriority w:val="9"/>
    <w:basedOn w:val="a"/>
    <w:next w:val="a"/>
    <w:link w:val="2Char"/>
    <w:qFormat/>
    <w:semiHidden/>
    <w:unhideWhenUsed/>
    <w:pPr>
      <w:keepNext/>
      <w:keepLines/>
      <w:outlineLvl w:val="1"/>
      <w:spacing w:after="80" w:before="160"/>
    </w:pPr>
    <w:rPr>
      <w:rFonts w:asciiTheme="majorHAnsi" w:eastAsiaTheme="majorEastAsia" w:hAnsiTheme="majorHAnsi" w:cstheme="majorBidi"/>
      <w:color w:val="000000"/>
      <w:sz w:val="28"/>
      <w:szCs w:val="28"/>
    </w:rPr>
  </w:style>
  <w:style w:type="paragraph" w:styleId="3">
    <w:name w:val="heading 3"/>
    <w:uiPriority w:val="9"/>
    <w:basedOn w:val="a"/>
    <w:next w:val="a"/>
    <w:link w:val="3Char"/>
    <w:qFormat/>
    <w:semiHidden/>
    <w:unhideWhenUsed/>
    <w:pPr>
      <w:keepNext/>
      <w:keepLines/>
      <w:outlineLvl w:val="2"/>
      <w:spacing w:after="80" w:before="160"/>
    </w:pPr>
    <w:rPr>
      <w:rFonts w:asciiTheme="majorHAnsi" w:eastAsiaTheme="majorEastAsia" w:hAnsiTheme="majorHAnsi" w:cstheme="majorBidi"/>
      <w:color w:val="000000"/>
      <w:sz w:val="24"/>
    </w:rPr>
  </w:style>
  <w:style w:type="paragraph" w:styleId="4">
    <w:name w:val="heading 4"/>
    <w:uiPriority w:val="9"/>
    <w:basedOn w:val="a"/>
    <w:next w:val="a"/>
    <w:link w:val="4Char"/>
    <w:qFormat/>
    <w:semiHidden/>
    <w:unhideWhenUsed/>
    <w:pPr>
      <w:keepNext/>
      <w:keepLines/>
      <w:outlineLvl w:val="3"/>
      <w:spacing w:after="40" w:before="80"/>
    </w:pPr>
    <w:rPr>
      <w:rFonts w:asciiTheme="majorHAnsi" w:eastAsiaTheme="majorEastAsia" w:hAnsiTheme="majorHAnsi" w:cstheme="majorBidi"/>
      <w:color w:val="000000"/>
    </w:rPr>
  </w:style>
  <w:style w:type="paragraph" w:styleId="5">
    <w:name w:val="heading 5"/>
    <w:uiPriority w:val="9"/>
    <w:basedOn w:val="a"/>
    <w:next w:val="a"/>
    <w:link w:val="5Char"/>
    <w:qFormat/>
    <w:semiHidden/>
    <w:unhideWhenUsed/>
    <w:pPr>
      <w:ind w:leftChars="100" w:left="100"/>
      <w:keepNext/>
      <w:keepLines/>
      <w:outlineLvl w:val="4"/>
      <w:spacing w:after="40" w:before="80"/>
    </w:pPr>
    <w:rPr>
      <w:rFonts w:asciiTheme="majorHAnsi" w:eastAsiaTheme="majorEastAsia" w:hAnsiTheme="majorHAnsi" w:cstheme="majorBidi"/>
      <w:color w:val="000000"/>
    </w:rPr>
  </w:style>
  <w:style w:type="paragraph" w:styleId="6">
    <w:name w:val="heading 6"/>
    <w:uiPriority w:val="9"/>
    <w:basedOn w:val="a"/>
    <w:next w:val="a"/>
    <w:link w:val="6Char"/>
    <w:qFormat/>
    <w:semiHidden/>
    <w:unhideWhenUsed/>
    <w:pPr>
      <w:ind w:leftChars="200" w:left="200"/>
      <w:keepNext/>
      <w:keepLines/>
      <w:outlineLvl w:val="5"/>
      <w:spacing w:after="40" w:before="80"/>
    </w:pPr>
    <w:rPr>
      <w:rFonts w:asciiTheme="majorHAnsi" w:eastAsiaTheme="majorEastAsia" w:hAnsiTheme="majorHAnsi" w:cstheme="majorBidi"/>
      <w:color w:val="000000"/>
    </w:rPr>
  </w:style>
  <w:style w:type="paragraph" w:styleId="7">
    <w:name w:val="heading 7"/>
    <w:uiPriority w:val="9"/>
    <w:basedOn w:val="a"/>
    <w:next w:val="a"/>
    <w:link w:val="7Char"/>
    <w:qFormat/>
    <w:semiHidden/>
    <w:unhideWhenUsed/>
    <w:pPr>
      <w:ind w:leftChars="300" w:left="300"/>
      <w:keepNext/>
      <w:keepLines/>
      <w:outlineLvl w:val="6"/>
      <w:spacing w:after="40" w:before="80"/>
    </w:pPr>
    <w:rPr>
      <w:rFonts w:asciiTheme="majorHAnsi" w:eastAsiaTheme="majorEastAsia" w:hAnsiTheme="majorHAnsi" w:cstheme="majorBidi"/>
      <w:color w:val="000000"/>
    </w:rPr>
  </w:style>
  <w:style w:type="paragraph" w:styleId="8">
    <w:name w:val="heading 8"/>
    <w:uiPriority w:val="9"/>
    <w:basedOn w:val="a"/>
    <w:next w:val="a"/>
    <w:link w:val="8Char"/>
    <w:qFormat/>
    <w:semiHidden/>
    <w:unhideWhenUsed/>
    <w:pPr>
      <w:ind w:leftChars="400" w:left="400"/>
      <w:keepNext/>
      <w:keepLines/>
      <w:outlineLvl w:val="7"/>
      <w:spacing w:after="40" w:before="80"/>
    </w:pPr>
    <w:rPr>
      <w:rFonts w:asciiTheme="majorHAnsi" w:eastAsiaTheme="majorEastAsia" w:hAnsiTheme="majorHAnsi" w:cstheme="majorBidi"/>
      <w:color w:val="000000"/>
    </w:rPr>
  </w:style>
  <w:style w:type="paragraph" w:styleId="9">
    <w:name w:val="heading 9"/>
    <w:uiPriority w:val="9"/>
    <w:basedOn w:val="a"/>
    <w:next w:val="a"/>
    <w:link w:val="9Char"/>
    <w:qFormat/>
    <w:semiHidden/>
    <w:unhideWhenUsed/>
    <w:pPr>
      <w:ind w:leftChars="500" w:left="500"/>
      <w:keepNext/>
      <w:keepLines/>
      <w:outlineLvl w:val="8"/>
      <w:spacing w:after="40" w:before="80"/>
    </w:pPr>
    <w:rPr>
      <w:rFonts w:asciiTheme="majorHAnsi" w:eastAsiaTheme="majorEastAsia" w:hAnsiTheme="majorHAnsi" w:cstheme="majorBid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uiPriority w:val="9"/>
    <w:basedOn w:val="a0"/>
    <w:link w:val="1"/>
    <w:rPr>
      <w:rFonts w:asciiTheme="majorHAnsi" w:eastAsiaTheme="majorEastAsia" w:hAnsiTheme="majorHAnsi" w:cstheme="majorBidi"/>
      <w:color w:val="000000"/>
      <w:sz w:val="32"/>
      <w:szCs w:val="32"/>
    </w:rPr>
  </w:style>
  <w:style w:type="character" w:customStyle="1" w:styleId="2Char">
    <w:name w:val="제목 2 Char"/>
    <w:uiPriority w:val="9"/>
    <w:basedOn w:val="a0"/>
    <w:link w:val="2"/>
    <w:semiHidden/>
    <w:rPr>
      <w:rFonts w:asciiTheme="majorHAnsi" w:eastAsiaTheme="majorEastAsia" w:hAnsiTheme="majorHAnsi" w:cstheme="majorBidi"/>
      <w:color w:val="000000"/>
      <w:sz w:val="28"/>
      <w:szCs w:val="28"/>
    </w:rPr>
  </w:style>
  <w:style w:type="character" w:customStyle="1" w:styleId="3Char">
    <w:name w:val="제목 3 Char"/>
    <w:uiPriority w:val="9"/>
    <w:basedOn w:val="a0"/>
    <w:link w:val="3"/>
    <w:semiHidden/>
    <w:rPr>
      <w:rFonts w:asciiTheme="majorHAnsi" w:eastAsiaTheme="majorEastAsia" w:hAnsiTheme="majorHAnsi" w:cstheme="majorBidi"/>
      <w:color w:val="000000"/>
      <w:sz w:val="24"/>
    </w:rPr>
  </w:style>
  <w:style w:type="character" w:customStyle="1" w:styleId="4Char">
    <w:name w:val="제목 4 Char"/>
    <w:uiPriority w:val="9"/>
    <w:basedOn w:val="a0"/>
    <w:link w:val="4"/>
    <w:semiHidden/>
    <w:rPr>
      <w:rFonts w:asciiTheme="majorHAnsi" w:eastAsiaTheme="majorEastAsia" w:hAnsiTheme="majorHAnsi" w:cstheme="majorBidi"/>
      <w:color w:val="000000"/>
    </w:rPr>
  </w:style>
  <w:style w:type="character" w:customStyle="1" w:styleId="5Char">
    <w:name w:val="제목 5 Char"/>
    <w:uiPriority w:val="9"/>
    <w:basedOn w:val="a0"/>
    <w:link w:val="5"/>
    <w:semiHidden/>
    <w:rPr>
      <w:rFonts w:asciiTheme="majorHAnsi" w:eastAsiaTheme="majorEastAsia" w:hAnsiTheme="majorHAnsi" w:cstheme="majorBidi"/>
      <w:color w:val="000000"/>
    </w:rPr>
  </w:style>
  <w:style w:type="character" w:customStyle="1" w:styleId="6Char">
    <w:name w:val="제목 6 Char"/>
    <w:uiPriority w:val="9"/>
    <w:basedOn w:val="a0"/>
    <w:link w:val="6"/>
    <w:semiHidden/>
    <w:rPr>
      <w:rFonts w:asciiTheme="majorHAnsi" w:eastAsiaTheme="majorEastAsia" w:hAnsiTheme="majorHAnsi" w:cstheme="majorBidi"/>
      <w:color w:val="000000"/>
    </w:rPr>
  </w:style>
  <w:style w:type="character" w:customStyle="1" w:styleId="7Char">
    <w:name w:val="제목 7 Char"/>
    <w:uiPriority w:val="9"/>
    <w:basedOn w:val="a0"/>
    <w:link w:val="7"/>
    <w:semiHidden/>
    <w:rPr>
      <w:rFonts w:asciiTheme="majorHAnsi" w:eastAsiaTheme="majorEastAsia" w:hAnsiTheme="majorHAnsi" w:cstheme="majorBidi"/>
      <w:color w:val="000000"/>
    </w:rPr>
  </w:style>
  <w:style w:type="character" w:customStyle="1" w:styleId="8Char">
    <w:name w:val="제목 8 Char"/>
    <w:uiPriority w:val="9"/>
    <w:basedOn w:val="a0"/>
    <w:link w:val="8"/>
    <w:semiHidden/>
    <w:rPr>
      <w:rFonts w:asciiTheme="majorHAnsi" w:eastAsiaTheme="majorEastAsia" w:hAnsiTheme="majorHAnsi" w:cstheme="majorBidi"/>
      <w:color w:val="000000"/>
    </w:rPr>
  </w:style>
  <w:style w:type="character" w:customStyle="1" w:styleId="9Char">
    <w:name w:val="제목 9 Char"/>
    <w:uiPriority w:val="9"/>
    <w:basedOn w:val="a0"/>
    <w:link w:val="9"/>
    <w:semiHidden/>
    <w:rPr>
      <w:rFonts w:asciiTheme="majorHAnsi" w:eastAsiaTheme="majorEastAsia" w:hAnsiTheme="majorHAnsi" w:cstheme="majorBidi"/>
      <w:color w:val="000000"/>
    </w:rPr>
  </w:style>
  <w:style w:type="paragraph" w:styleId="a3">
    <w:name w:val="Title"/>
    <w:uiPriority w:val="10"/>
    <w:basedOn w:val="a"/>
    <w:next w:val="a"/>
    <w:link w:val="Char"/>
    <w:qFormat/>
    <w:pPr>
      <w:contextualSpacing/>
      <w:jc w:val="center"/>
      <w:spacing w:after="80"/>
    </w:pPr>
    <w:rPr>
      <w:rFonts w:asciiTheme="majorHAnsi" w:eastAsiaTheme="majorEastAsia" w:hAnsiTheme="majorHAnsi" w:cstheme="majorBidi"/>
      <w:sz w:val="56"/>
      <w:szCs w:val="56"/>
      <w:kern w:val="28"/>
      <w:spacing w:val="-10"/>
    </w:rPr>
  </w:style>
  <w:style w:type="character" w:customStyle="1" w:styleId="Char">
    <w:name w:val="제목 Char"/>
    <w:uiPriority w:val="10"/>
    <w:basedOn w:val="a0"/>
    <w:link w:val="a3"/>
    <w:rPr>
      <w:rFonts w:asciiTheme="majorHAnsi" w:eastAsiaTheme="majorEastAsia" w:hAnsiTheme="majorHAnsi" w:cstheme="majorBidi"/>
      <w:sz w:val="56"/>
      <w:szCs w:val="56"/>
      <w:kern w:val="28"/>
      <w:spacing w:val="-10"/>
    </w:rPr>
  </w:style>
  <w:style w:type="paragraph" w:styleId="a4">
    <w:name w:val="Subtitle"/>
    <w:uiPriority w:val="11"/>
    <w:basedOn w:val="a"/>
    <w:next w:val="a"/>
    <w:link w:val="Char0"/>
    <w:qFormat/>
    <w:pPr>
      <w:jc w:val="center"/>
      <w:numPr>
        <w:ilvl w:val="1"/>
      </w:numPr>
    </w:pPr>
    <w:rPr>
      <w:rFonts w:asciiTheme="majorHAnsi" w:eastAsiaTheme="majorEastAsia" w:hAnsiTheme="majorHAnsi" w:cstheme="majorBidi"/>
      <w:color w:val="A1A1A1"/>
      <w:sz w:val="28"/>
      <w:szCs w:val="28"/>
      <w:spacing w:val="15"/>
    </w:rPr>
  </w:style>
  <w:style w:type="character" w:customStyle="1" w:styleId="Char0">
    <w:name w:val="부제 Char"/>
    <w:uiPriority w:val="11"/>
    <w:basedOn w:val="a0"/>
    <w:link w:val="a4"/>
    <w:rPr>
      <w:rFonts w:asciiTheme="majorHAnsi" w:eastAsiaTheme="majorEastAsia" w:hAnsiTheme="majorHAnsi" w:cstheme="majorBidi"/>
      <w:color w:val="A1A1A1"/>
      <w:sz w:val="28"/>
      <w:szCs w:val="28"/>
      <w:spacing w:val="15"/>
    </w:rPr>
  </w:style>
  <w:style w:type="paragraph" w:styleId="a5">
    <w:name w:val="Quote"/>
    <w:uiPriority w:val="29"/>
    <w:basedOn w:val="a"/>
    <w:next w:val="a"/>
    <w:link w:val="Char1"/>
    <w:qFormat/>
    <w:pPr>
      <w:jc w:val="center"/>
      <w:spacing w:before="160"/>
    </w:pPr>
    <w:rPr>
      <w:i/>
      <w:iCs/>
      <w:color w:val="8C8C8C"/>
    </w:rPr>
  </w:style>
  <w:style w:type="character" w:customStyle="1" w:styleId="Char1">
    <w:name w:val="인용 Char"/>
    <w:uiPriority w:val="29"/>
    <w:basedOn w:val="a0"/>
    <w:link w:val="a5"/>
    <w:rPr>
      <w:i/>
      <w:iCs/>
      <w:color w:val="8C8C8C"/>
    </w:rPr>
  </w:style>
  <w:style w:type="paragraph" w:styleId="a6">
    <w:name w:val="List Paragraph"/>
    <w:uiPriority w:val="34"/>
    <w:basedOn w:val="a"/>
    <w:qFormat/>
    <w:pPr>
      <w:ind w:left="720"/>
      <w:contextualSpacing/>
    </w:pPr>
  </w:style>
  <w:style w:type="character" w:styleId="a7">
    <w:name w:val="Intense Emphasis"/>
    <w:uiPriority w:val="21"/>
    <w:basedOn w:val="a0"/>
    <w:qFormat/>
    <w:rPr>
      <w:i/>
      <w:iCs/>
      <w:color w:val="104861"/>
    </w:rPr>
  </w:style>
  <w:style w:type="paragraph" w:styleId="a8">
    <w:name w:val="Intense Quote"/>
    <w:uiPriority w:val="30"/>
    <w:basedOn w:val="a"/>
    <w:next w:val="a"/>
    <w:link w:val="Char2"/>
    <w:qFormat/>
    <w:pPr>
      <w:ind w:left="864" w:right="864"/>
      <w:jc w:val="center"/>
      <w:pBdr>
        <w:top w:val="single" w:sz="4" w:space="10" w:color="104861" w:themeColor="accent1" w:themeShade="bf"/>
        <w:bottom w:val="single" w:sz="4" w:space="10" w:color="104861" w:themeColor="accent1" w:themeShade="bf"/>
      </w:pBdr>
      <w:spacing w:after="360" w:before="360"/>
    </w:pPr>
    <w:rPr>
      <w:i/>
      <w:iCs/>
      <w:color w:val="104861"/>
    </w:rPr>
  </w:style>
  <w:style w:type="character" w:customStyle="1" w:styleId="Char2">
    <w:name w:val="강한 인용 Char"/>
    <w:uiPriority w:val="30"/>
    <w:basedOn w:val="a0"/>
    <w:link w:val="a8"/>
    <w:rPr>
      <w:i/>
      <w:iCs/>
      <w:color w:val="104861"/>
    </w:rPr>
  </w:style>
  <w:style w:type="character" w:styleId="a9">
    <w:name w:val="Intense Reference"/>
    <w:uiPriority w:val="32"/>
    <w:basedOn w:val="a0"/>
    <w:qFormat/>
    <w:rPr>
      <w:b/>
      <w:bCs/>
      <w:smallCaps/>
      <w:color w:val="104861"/>
      <w:spacing w:val="5"/>
    </w:rPr>
  </w:style>
  <w:style w:type="character" w:styleId="aa">
    <w:name w:val="Hyperlink"/>
    <w:uiPriority w:val="99"/>
    <w:basedOn w:val="a0"/>
    <w:unhideWhenUsed/>
    <w:rPr>
      <w:color w:val="467886"/>
      <w:u w:val="single" w:color="auto"/>
    </w:rPr>
  </w:style>
  <w:style w:type="character" w:customStyle="1" w:styleId="ab">
    <w:name w:val="Unresolved Mention"/>
    <w:uiPriority w:val="99"/>
    <w:basedOn w:val="a0"/>
    <w:semiHidden/>
    <w:unhideWhenUsed/>
    <w:rPr>
      <w:color w:val="605E5C"/>
      <w:shd w:val="clear" w:color="auto" w:fill="E1DFDD"/>
    </w:rPr>
  </w:style>
  <w:style w:type="character" w:styleId="ac">
    <w:name w:val="FollowedHyperlink"/>
    <w:uiPriority w:val="99"/>
    <w:basedOn w:val="a0"/>
    <w:semiHidden/>
    <w:unhideWhenUsed/>
    <w:rPr>
      <w:color w:val="96607D"/>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gif"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Youngseob Song</dc:creator>
  <cp:keywords/>
  <dc:description/>
  <cp:lastModifiedBy>admin</cp:lastModifiedBy>
  <cp:revision>1</cp:revision>
  <dcterms:created xsi:type="dcterms:W3CDTF">2025-07-03T00:57:00Z</dcterms:created>
  <dcterms:modified xsi:type="dcterms:W3CDTF">2025-07-30T04:13:03Z</dcterms:modified>
  <cp:version>1300.0100.01</cp:version>
</cp:coreProperties>
</file>